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2B4B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5CD6AD51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</w:p>
    <w:p w14:paraId="32C3EACC" w14:textId="39525244" w:rsidR="000B10AD" w:rsidRPr="00A81552" w:rsidRDefault="0084294B" w:rsidP="00731356">
      <w:pPr>
        <w:rPr>
          <w:b/>
          <w:bCs/>
          <w:szCs w:val="25"/>
          <w:rtl/>
        </w:rPr>
      </w:pP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rFonts w:hint="eastAsia"/>
          <w:szCs w:val="25"/>
          <w:rtl/>
        </w:rPr>
        <w:t>‏</w:t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rFonts w:hint="cs"/>
          <w:szCs w:val="25"/>
          <w:rtl/>
        </w:rPr>
        <w:t xml:space="preserve">               </w:t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B35952">
        <w:rPr>
          <w:rFonts w:hint="cs"/>
          <w:szCs w:val="25"/>
          <w:rtl/>
        </w:rPr>
        <w:t xml:space="preserve">      </w:t>
      </w:r>
      <w:r w:rsidR="000B10AD">
        <w:rPr>
          <w:rFonts w:hint="cs"/>
          <w:szCs w:val="25"/>
          <w:rtl/>
        </w:rPr>
        <w:t xml:space="preserve">     </w:t>
      </w:r>
      <w:r w:rsidR="00731356">
        <w:rPr>
          <w:rFonts w:hint="eastAsia"/>
          <w:szCs w:val="25"/>
          <w:rtl/>
        </w:rPr>
        <w:t>‏</w:t>
      </w:r>
      <w:r w:rsidR="00AB0FD0">
        <w:rPr>
          <w:rFonts w:hint="eastAsia"/>
          <w:szCs w:val="25"/>
          <w:rtl/>
        </w:rPr>
        <w:t>‏</w:t>
      </w:r>
      <w:r w:rsidR="007F0D48">
        <w:rPr>
          <w:rFonts w:hint="eastAsia"/>
          <w:szCs w:val="25"/>
          <w:rtl/>
        </w:rPr>
        <w:t>‏</w:t>
      </w:r>
      <w:r w:rsidR="007F0D48">
        <w:rPr>
          <w:szCs w:val="25"/>
          <w:rtl/>
        </w:rPr>
        <w:t>30 ספטמבר, 2025</w:t>
      </w:r>
    </w:p>
    <w:p w14:paraId="21135CF1" w14:textId="77777777" w:rsidR="00A81552" w:rsidRPr="0084294B" w:rsidRDefault="00A81552" w:rsidP="000B10AD">
      <w:pPr>
        <w:rPr>
          <w:szCs w:val="25"/>
          <w:rtl/>
        </w:rPr>
      </w:pPr>
    </w:p>
    <w:p w14:paraId="40121B78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1B49E11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5920B2FD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567F72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tbl>
      <w:tblPr>
        <w:tblpPr w:leftFromText="180" w:rightFromText="180" w:vertAnchor="text" w:horzAnchor="margin" w:tblpXSpec="center" w:tblpY="1000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35952" w:rsidRPr="000068F3" w14:paraId="0FCD70F0" w14:textId="77777777" w:rsidTr="00B35952">
        <w:tc>
          <w:tcPr>
            <w:tcW w:w="1596" w:type="dxa"/>
          </w:tcPr>
          <w:p w14:paraId="1602F23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A12D6F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הרווחה</w:t>
            </w:r>
          </w:p>
        </w:tc>
      </w:tr>
      <w:tr w:rsidR="00B35952" w:rsidRPr="000068F3" w14:paraId="03731215" w14:textId="77777777" w:rsidTr="00B35952">
        <w:tc>
          <w:tcPr>
            <w:tcW w:w="1596" w:type="dxa"/>
          </w:tcPr>
          <w:p w14:paraId="57726B4C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B8B20B8" w14:textId="77A9A6C1" w:rsidR="00B35952" w:rsidRPr="00507524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 xml:space="preserve">מ"מ תומך/ת עו"ס </w:t>
            </w: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במינהל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הרווחה</w:t>
            </w:r>
          </w:p>
        </w:tc>
      </w:tr>
      <w:tr w:rsidR="00B35952" w:rsidRPr="000068F3" w14:paraId="5F08C1B1" w14:textId="77777777" w:rsidTr="00B35952">
        <w:tc>
          <w:tcPr>
            <w:tcW w:w="1596" w:type="dxa"/>
          </w:tcPr>
          <w:p w14:paraId="70895DEF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0E57D67" w14:textId="780437DC" w:rsidR="00B35952" w:rsidRPr="00507524" w:rsidRDefault="00B35952" w:rsidP="00B35952">
            <w:pPr>
              <w:pStyle w:val="a9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 xml:space="preserve">6-8 בדירוג המנהלי / 36-38 בדירוג </w:t>
            </w:r>
            <w:proofErr w:type="spellStart"/>
            <w:r>
              <w:rPr>
                <w:rFonts w:cs="David" w:hint="cs"/>
                <w:szCs w:val="25"/>
                <w:rtl/>
              </w:rPr>
              <w:t>המח"ר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/ </w:t>
            </w:r>
            <w:r w:rsidRPr="007F0D48">
              <w:rPr>
                <w:rFonts w:asciiTheme="minorBidi" w:hAnsiTheme="minorBidi" w:cs="David" w:hint="cs"/>
                <w:b/>
                <w:bCs/>
                <w:sz w:val="25"/>
                <w:szCs w:val="25"/>
                <w:u w:val="single"/>
                <w:rtl/>
              </w:rPr>
              <w:t>משרה מתוקצבת</w:t>
            </w:r>
          </w:p>
        </w:tc>
      </w:tr>
      <w:tr w:rsidR="00B35952" w:rsidRPr="000068F3" w14:paraId="286AD0BC" w14:textId="77777777" w:rsidTr="00B35952">
        <w:tc>
          <w:tcPr>
            <w:tcW w:w="1596" w:type="dxa"/>
          </w:tcPr>
          <w:p w14:paraId="6DFB850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52A722B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מלאה</w:t>
            </w:r>
          </w:p>
        </w:tc>
      </w:tr>
      <w:tr w:rsidR="00B35952" w:rsidRPr="000068F3" w14:paraId="46CB00B6" w14:textId="77777777" w:rsidTr="00B35952">
        <w:tc>
          <w:tcPr>
            <w:tcW w:w="1596" w:type="dxa"/>
          </w:tcPr>
          <w:p w14:paraId="24D6927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56BDB4B9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חיצוני</w:t>
            </w:r>
          </w:p>
        </w:tc>
      </w:tr>
      <w:tr w:rsidR="00B35952" w:rsidRPr="000068F3" w14:paraId="6ED3F483" w14:textId="77777777" w:rsidTr="00B35952">
        <w:trPr>
          <w:trHeight w:val="3747"/>
        </w:trPr>
        <w:tc>
          <w:tcPr>
            <w:tcW w:w="1596" w:type="dxa"/>
          </w:tcPr>
          <w:p w14:paraId="74E72858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303BD30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יישום מעקב ובקרה מנהלתיים על רצף ההתערבות</w:t>
            </w:r>
          </w:p>
          <w:p w14:paraId="217DD925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ומתן סיוע לעו"ס במהלך ההתערבות, לרבות בנושאים הבאים:</w:t>
            </w:r>
          </w:p>
          <w:p w14:paraId="740019D5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הסרת חסמים במימוש המענים9 בקהילה/מיצוי זכויות</w:t>
            </w:r>
          </w:p>
          <w:p w14:paraId="42EC05D4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שותפות בניהול תקציב המענים והסיוע</w:t>
            </w:r>
          </w:p>
          <w:p w14:paraId="73A85CD2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תיווך בין אנשי המקצוע בשירותים משלימים בקהילה (חינוך, בריאות, תעסוקה וכד')</w:t>
            </w:r>
          </w:p>
          <w:p w14:paraId="1CFDD715" w14:textId="1C1ED7FA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תיווך ותיאום בנוגע למגוון מענים באגף, עובדים סוציאליים ייעודיים, מרכזים </w:t>
            </w:r>
            <w:r w:rsidR="0013036D">
              <w:rPr>
                <w:rFonts w:cs="David" w:hint="cs"/>
                <w:szCs w:val="25"/>
                <w:rtl/>
              </w:rPr>
              <w:t xml:space="preserve">  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ושירותים בקהילה</w:t>
            </w:r>
          </w:p>
          <w:p w14:paraId="5130FE98" w14:textId="33F128A1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</w:t>
            </w:r>
            <w:proofErr w:type="spellStart"/>
            <w:r>
              <w:rPr>
                <w:rFonts w:cs="David" w:hint="cs"/>
                <w:szCs w:val="25"/>
                <w:rtl/>
              </w:rPr>
              <w:t>העו"ס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במסגרת השתתפותו בדיונים עם הגורמים השותפים ליישום תכנית </w:t>
            </w:r>
            <w:r w:rsidR="0013036D">
              <w:rPr>
                <w:rFonts w:cs="David" w:hint="cs"/>
                <w:szCs w:val="25"/>
                <w:rtl/>
              </w:rPr>
              <w:t xml:space="preserve">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ההתערבות</w:t>
            </w:r>
          </w:p>
          <w:p w14:paraId="5FA3EF60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</w:t>
            </w:r>
            <w:proofErr w:type="spellStart"/>
            <w:r>
              <w:rPr>
                <w:rFonts w:cs="David" w:hint="cs"/>
                <w:szCs w:val="25"/>
                <w:rtl/>
              </w:rPr>
              <w:t>העו"ס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במסגרת מפגשים ומתן שירותים ומענים בקהילה.</w:t>
            </w:r>
          </w:p>
          <w:p w14:paraId="2F230DC4" w14:textId="77777777" w:rsidR="00B35952" w:rsidRPr="006D3D7C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B35952" w:rsidRPr="000068F3" w14:paraId="39D56159" w14:textId="77777777" w:rsidTr="00B35952">
        <w:tc>
          <w:tcPr>
            <w:tcW w:w="1596" w:type="dxa"/>
          </w:tcPr>
          <w:p w14:paraId="54583D6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8385CF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553C461" w14:textId="77777777" w:rsidR="00B35952" w:rsidRDefault="00B35952" w:rsidP="00B35952">
            <w:pPr>
              <w:pStyle w:val="a9"/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12 שנות לימוד</w:t>
            </w:r>
          </w:p>
          <w:p w14:paraId="79A183BE" w14:textId="77777777" w:rsidR="00B35952" w:rsidRDefault="00B35952" w:rsidP="00B35952">
            <w:pPr>
              <w:pStyle w:val="a9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עדיפות לסטודנטים לתואר ראשון</w:t>
            </w:r>
          </w:p>
          <w:p w14:paraId="44480D4E" w14:textId="77777777" w:rsidR="00B35952" w:rsidRPr="002323B2" w:rsidRDefault="00B35952" w:rsidP="00B35952">
            <w:pPr>
              <w:rPr>
                <w:rFonts w:asciiTheme="minorBidi" w:hAnsiTheme="minorBidi"/>
                <w:sz w:val="10"/>
                <w:szCs w:val="10"/>
                <w:rtl/>
              </w:rPr>
            </w:pPr>
          </w:p>
          <w:p w14:paraId="1B3337C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6EFFAAE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02090">
              <w:rPr>
                <w:rFonts w:asciiTheme="minorBidi" w:hAnsiTheme="minorBidi" w:cs="David" w:hint="cs"/>
                <w:sz w:val="25"/>
                <w:szCs w:val="25"/>
                <w:rtl/>
              </w:rPr>
              <w:t>יכולת כתיבה ודיבור בשפה העברית</w:t>
            </w:r>
          </w:p>
          <w:p w14:paraId="0F70A4D4" w14:textId="77777777" w:rsidR="00B35952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היכרות ועבודה בתוכנות האופיס</w:t>
            </w:r>
          </w:p>
          <w:p w14:paraId="6F7014A8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הנעה של תהליכים</w:t>
            </w:r>
          </w:p>
        </w:tc>
      </w:tr>
      <w:tr w:rsidR="00B35952" w:rsidRPr="000068F3" w14:paraId="23BEDAA9" w14:textId="77777777" w:rsidTr="00B35952">
        <w:tc>
          <w:tcPr>
            <w:tcW w:w="1596" w:type="dxa"/>
          </w:tcPr>
          <w:p w14:paraId="4A0477F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>
              <w:rPr>
                <w:rFonts w:asciiTheme="minorBidi" w:hAnsiTheme="minorBidi" w:hint="cs"/>
                <w:b/>
                <w:bCs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87AF009" w14:textId="77777777" w:rsidR="00B35952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</w:t>
            </w:r>
          </w:p>
          <w:p w14:paraId="0F5750AE" w14:textId="77777777" w:rsidR="00B35952" w:rsidRPr="00507524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זמינות לעבודה בשעות לא שגרתיות</w:t>
            </w:r>
          </w:p>
        </w:tc>
      </w:tr>
      <w:tr w:rsidR="00B35952" w:rsidRPr="000068F3" w14:paraId="027D87F0" w14:textId="77777777" w:rsidTr="00B35952">
        <w:tc>
          <w:tcPr>
            <w:tcW w:w="1596" w:type="dxa"/>
          </w:tcPr>
          <w:p w14:paraId="6BD748C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D0EF944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רווחה</w:t>
            </w:r>
          </w:p>
        </w:tc>
      </w:tr>
    </w:tbl>
    <w:p w14:paraId="72518888" w14:textId="77777777" w:rsidR="00A81552" w:rsidRPr="004731BF" w:rsidRDefault="00A815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>מודעת דרושים</w:t>
      </w:r>
    </w:p>
    <w:p w14:paraId="1EC26815" w14:textId="58C4C1F7" w:rsidR="00B35952" w:rsidRPr="004731BF" w:rsidRDefault="00B359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 xml:space="preserve">מ"מ תומך/ת עו"ס </w:t>
      </w:r>
      <w:proofErr w:type="spellStart"/>
      <w:r w:rsidRPr="004731BF">
        <w:rPr>
          <w:rFonts w:hint="cs"/>
          <w:b/>
          <w:bCs/>
          <w:sz w:val="40"/>
          <w:szCs w:val="40"/>
          <w:u w:val="single"/>
          <w:rtl/>
        </w:rPr>
        <w:t>במינהל</w:t>
      </w:r>
      <w:proofErr w:type="spellEnd"/>
      <w:r w:rsidRPr="004731BF">
        <w:rPr>
          <w:rFonts w:hint="cs"/>
          <w:b/>
          <w:bCs/>
          <w:sz w:val="40"/>
          <w:szCs w:val="40"/>
          <w:u w:val="single"/>
          <w:rtl/>
        </w:rPr>
        <w:t xml:space="preserve"> הרווחה</w:t>
      </w:r>
    </w:p>
    <w:p w14:paraId="3CEFB3F4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AA44E2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C584C98" w14:textId="77777777" w:rsidR="00A81552" w:rsidRPr="00A81552" w:rsidRDefault="00A81552" w:rsidP="00A81552">
      <w:pPr>
        <w:rPr>
          <w:szCs w:val="25"/>
          <w:rtl/>
        </w:rPr>
      </w:pPr>
    </w:p>
    <w:p w14:paraId="127F5629" w14:textId="77777777" w:rsidR="00B83415" w:rsidRPr="00B35952" w:rsidRDefault="00B83415" w:rsidP="00A81552">
      <w:pPr>
        <w:rPr>
          <w:sz w:val="10"/>
          <w:szCs w:val="10"/>
          <w:rtl/>
        </w:rPr>
      </w:pPr>
    </w:p>
    <w:p w14:paraId="1820671A" w14:textId="7A1B3615" w:rsidR="003227A4" w:rsidRDefault="003227A4" w:rsidP="00A96B37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6F4763">
        <w:rPr>
          <w:rFonts w:ascii="David" w:hAnsi="David"/>
          <w:b/>
          <w:bCs/>
          <w:color w:val="0070C0"/>
          <w:sz w:val="28"/>
          <w:szCs w:val="28"/>
          <w:u w:val="single"/>
        </w:rPr>
        <w:t>michrazim.hr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7F0D48">
        <w:rPr>
          <w:rFonts w:ascii="David" w:hAnsi="David" w:hint="cs"/>
          <w:b/>
          <w:bCs/>
          <w:szCs w:val="25"/>
          <w:u w:val="single"/>
          <w:rtl/>
        </w:rPr>
        <w:t>15</w:t>
      </w:r>
      <w:r w:rsidR="005D7DBE">
        <w:rPr>
          <w:rFonts w:ascii="David" w:hAnsi="David" w:hint="cs"/>
          <w:b/>
          <w:bCs/>
          <w:szCs w:val="25"/>
          <w:u w:val="single"/>
          <w:rtl/>
        </w:rPr>
        <w:t>.</w:t>
      </w:r>
      <w:r w:rsidR="007F0D48">
        <w:rPr>
          <w:rFonts w:ascii="David" w:hAnsi="David" w:hint="cs"/>
          <w:b/>
          <w:bCs/>
          <w:szCs w:val="25"/>
          <w:u w:val="single"/>
          <w:rtl/>
        </w:rPr>
        <w:t>10</w:t>
      </w:r>
      <w:r w:rsidR="005D7DBE">
        <w:rPr>
          <w:rFonts w:ascii="David" w:hAnsi="David" w:hint="cs"/>
          <w:b/>
          <w:bCs/>
          <w:szCs w:val="25"/>
          <w:u w:val="single"/>
          <w:rtl/>
        </w:rPr>
        <w:t>.25</w:t>
      </w:r>
      <w:r w:rsidR="006F4763">
        <w:rPr>
          <w:rFonts w:ascii="David" w:hAnsi="David" w:hint="cs"/>
          <w:szCs w:val="25"/>
          <w:u w:val="single"/>
          <w:rtl/>
        </w:rPr>
        <w:t xml:space="preserve"> </w:t>
      </w:r>
      <w:r w:rsidR="006F4763">
        <w:rPr>
          <w:rFonts w:ascii="David" w:hAnsi="David" w:hint="cs"/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1614FBB6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680468E7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17E19229" w14:textId="0C3960F4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</w:t>
      </w:r>
      <w:r w:rsidR="00B35952">
        <w:rPr>
          <w:rFonts w:hint="cs"/>
          <w:b/>
          <w:bCs/>
          <w:szCs w:val="25"/>
          <w:rtl/>
        </w:rPr>
        <w:t xml:space="preserve">    </w:t>
      </w:r>
      <w:r w:rsidRPr="00A81552">
        <w:rPr>
          <w:rFonts w:hint="cs"/>
          <w:b/>
          <w:bCs/>
          <w:szCs w:val="25"/>
          <w:rtl/>
        </w:rPr>
        <w:t>בכבוד רב,</w:t>
      </w:r>
    </w:p>
    <w:p w14:paraId="43B0EA6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51CBA5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25AE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42AE652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376B5BBD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35952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6C5D" w14:textId="77777777" w:rsidR="00222A68" w:rsidRDefault="00222A68">
      <w:r>
        <w:separator/>
      </w:r>
    </w:p>
  </w:endnote>
  <w:endnote w:type="continuationSeparator" w:id="0">
    <w:p w14:paraId="5E819053" w14:textId="77777777" w:rsidR="00222A68" w:rsidRDefault="0022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ECA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0DF45E8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555D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5D8C29A" w14:textId="77777777" w:rsidR="00BD3FAE" w:rsidRDefault="00BD3FAE">
    <w:pPr>
      <w:pStyle w:val="a6"/>
      <w:rPr>
        <w:rtl/>
        <w:lang w:eastAsia="en-US"/>
      </w:rPr>
    </w:pPr>
  </w:p>
  <w:p w14:paraId="07AE647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AFEF" w14:textId="77777777" w:rsidR="00222A68" w:rsidRDefault="00222A68">
      <w:r>
        <w:separator/>
      </w:r>
    </w:p>
  </w:footnote>
  <w:footnote w:type="continuationSeparator" w:id="0">
    <w:p w14:paraId="5FE113ED" w14:textId="77777777" w:rsidR="00222A68" w:rsidRDefault="0022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62B0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D3286"/>
    <w:multiLevelType w:val="hybridMultilevel"/>
    <w:tmpl w:val="F7344748"/>
    <w:lvl w:ilvl="0" w:tplc="5A0E592A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8DF79BF"/>
    <w:multiLevelType w:val="hybridMultilevel"/>
    <w:tmpl w:val="A0926CC4"/>
    <w:lvl w:ilvl="0" w:tplc="B2CE355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2267"/>
    <w:multiLevelType w:val="hybridMultilevel"/>
    <w:tmpl w:val="A3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5798">
    <w:abstractNumId w:val="3"/>
  </w:num>
  <w:num w:numId="2" w16cid:durableId="1249535722">
    <w:abstractNumId w:val="6"/>
  </w:num>
  <w:num w:numId="3" w16cid:durableId="1503543217">
    <w:abstractNumId w:val="6"/>
  </w:num>
  <w:num w:numId="4" w16cid:durableId="1296838912">
    <w:abstractNumId w:val="3"/>
  </w:num>
  <w:num w:numId="5" w16cid:durableId="1270966526">
    <w:abstractNumId w:val="6"/>
  </w:num>
  <w:num w:numId="6" w16cid:durableId="1776247551">
    <w:abstractNumId w:val="3"/>
  </w:num>
  <w:num w:numId="7" w16cid:durableId="1198737757">
    <w:abstractNumId w:val="3"/>
  </w:num>
  <w:num w:numId="8" w16cid:durableId="1945382912">
    <w:abstractNumId w:val="2"/>
  </w:num>
  <w:num w:numId="9" w16cid:durableId="1234465962">
    <w:abstractNumId w:val="5"/>
  </w:num>
  <w:num w:numId="10" w16cid:durableId="908150232">
    <w:abstractNumId w:val="0"/>
  </w:num>
  <w:num w:numId="11" w16cid:durableId="1959481433">
    <w:abstractNumId w:val="7"/>
  </w:num>
  <w:num w:numId="12" w16cid:durableId="435248468">
    <w:abstractNumId w:val="8"/>
  </w:num>
  <w:num w:numId="13" w16cid:durableId="445392116">
    <w:abstractNumId w:val="4"/>
  </w:num>
  <w:num w:numId="14" w16cid:durableId="193285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B10AD"/>
    <w:rsid w:val="000D752C"/>
    <w:rsid w:val="00101E2E"/>
    <w:rsid w:val="00102BCB"/>
    <w:rsid w:val="00110E3B"/>
    <w:rsid w:val="00117C01"/>
    <w:rsid w:val="001231A0"/>
    <w:rsid w:val="0013036D"/>
    <w:rsid w:val="00154AD1"/>
    <w:rsid w:val="00170E36"/>
    <w:rsid w:val="0018275E"/>
    <w:rsid w:val="00184054"/>
    <w:rsid w:val="00190163"/>
    <w:rsid w:val="001A47B9"/>
    <w:rsid w:val="001B0693"/>
    <w:rsid w:val="001B4E0B"/>
    <w:rsid w:val="001B7283"/>
    <w:rsid w:val="001B7331"/>
    <w:rsid w:val="001E2EFB"/>
    <w:rsid w:val="001F4DB0"/>
    <w:rsid w:val="001F7F9C"/>
    <w:rsid w:val="00222A68"/>
    <w:rsid w:val="00236180"/>
    <w:rsid w:val="00260EF6"/>
    <w:rsid w:val="002939C7"/>
    <w:rsid w:val="00294E67"/>
    <w:rsid w:val="002A02AD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04B6A"/>
    <w:rsid w:val="00312897"/>
    <w:rsid w:val="003227A4"/>
    <w:rsid w:val="00322FAF"/>
    <w:rsid w:val="00334916"/>
    <w:rsid w:val="00341027"/>
    <w:rsid w:val="00341673"/>
    <w:rsid w:val="003600BA"/>
    <w:rsid w:val="0036217D"/>
    <w:rsid w:val="00387341"/>
    <w:rsid w:val="0039059B"/>
    <w:rsid w:val="003A34C2"/>
    <w:rsid w:val="003B6D53"/>
    <w:rsid w:val="003C6E80"/>
    <w:rsid w:val="003D11B4"/>
    <w:rsid w:val="00401AA3"/>
    <w:rsid w:val="00415378"/>
    <w:rsid w:val="00415B49"/>
    <w:rsid w:val="00420821"/>
    <w:rsid w:val="00422A91"/>
    <w:rsid w:val="00425034"/>
    <w:rsid w:val="004331A2"/>
    <w:rsid w:val="004731BF"/>
    <w:rsid w:val="00497CC6"/>
    <w:rsid w:val="004B3C06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42E1"/>
    <w:rsid w:val="00560E26"/>
    <w:rsid w:val="00567FEC"/>
    <w:rsid w:val="00574E71"/>
    <w:rsid w:val="005850D1"/>
    <w:rsid w:val="00597F85"/>
    <w:rsid w:val="005B68A2"/>
    <w:rsid w:val="005C06A7"/>
    <w:rsid w:val="005C5280"/>
    <w:rsid w:val="005D261C"/>
    <w:rsid w:val="005D42A0"/>
    <w:rsid w:val="005D7DBE"/>
    <w:rsid w:val="005E6771"/>
    <w:rsid w:val="005F6A0B"/>
    <w:rsid w:val="0060274C"/>
    <w:rsid w:val="006042DD"/>
    <w:rsid w:val="00616EBD"/>
    <w:rsid w:val="00634168"/>
    <w:rsid w:val="00652737"/>
    <w:rsid w:val="00655EC4"/>
    <w:rsid w:val="00664BAF"/>
    <w:rsid w:val="006A2490"/>
    <w:rsid w:val="006B0D01"/>
    <w:rsid w:val="006B4BDC"/>
    <w:rsid w:val="006D24AD"/>
    <w:rsid w:val="006E1F00"/>
    <w:rsid w:val="006E5314"/>
    <w:rsid w:val="006F3497"/>
    <w:rsid w:val="006F4763"/>
    <w:rsid w:val="006F5578"/>
    <w:rsid w:val="006F7514"/>
    <w:rsid w:val="00731356"/>
    <w:rsid w:val="00742EC1"/>
    <w:rsid w:val="00751F25"/>
    <w:rsid w:val="0075268A"/>
    <w:rsid w:val="007657FC"/>
    <w:rsid w:val="00771E9B"/>
    <w:rsid w:val="007739CB"/>
    <w:rsid w:val="0078681A"/>
    <w:rsid w:val="007B2996"/>
    <w:rsid w:val="007B3F6B"/>
    <w:rsid w:val="007D2B95"/>
    <w:rsid w:val="007D6151"/>
    <w:rsid w:val="007E0636"/>
    <w:rsid w:val="007E3F7D"/>
    <w:rsid w:val="007F0D48"/>
    <w:rsid w:val="007F4410"/>
    <w:rsid w:val="007F5740"/>
    <w:rsid w:val="007F7C12"/>
    <w:rsid w:val="00814D00"/>
    <w:rsid w:val="0084294B"/>
    <w:rsid w:val="008547C6"/>
    <w:rsid w:val="00855052"/>
    <w:rsid w:val="00856EAB"/>
    <w:rsid w:val="0086762C"/>
    <w:rsid w:val="00877F27"/>
    <w:rsid w:val="008A4012"/>
    <w:rsid w:val="008B6B5A"/>
    <w:rsid w:val="008D6280"/>
    <w:rsid w:val="008D7DB0"/>
    <w:rsid w:val="008E0378"/>
    <w:rsid w:val="008E7F6B"/>
    <w:rsid w:val="008F3200"/>
    <w:rsid w:val="0090495F"/>
    <w:rsid w:val="00905986"/>
    <w:rsid w:val="009074ED"/>
    <w:rsid w:val="00915B2B"/>
    <w:rsid w:val="009208F3"/>
    <w:rsid w:val="009210D2"/>
    <w:rsid w:val="0093631E"/>
    <w:rsid w:val="00971ADD"/>
    <w:rsid w:val="00974DBD"/>
    <w:rsid w:val="0097661A"/>
    <w:rsid w:val="009855C6"/>
    <w:rsid w:val="009C3E26"/>
    <w:rsid w:val="009C6941"/>
    <w:rsid w:val="009E5A6A"/>
    <w:rsid w:val="00A10927"/>
    <w:rsid w:val="00A115B3"/>
    <w:rsid w:val="00A26C19"/>
    <w:rsid w:val="00A34326"/>
    <w:rsid w:val="00A5747B"/>
    <w:rsid w:val="00A607D2"/>
    <w:rsid w:val="00A62D26"/>
    <w:rsid w:val="00A80F2F"/>
    <w:rsid w:val="00A81552"/>
    <w:rsid w:val="00A96B37"/>
    <w:rsid w:val="00AB0FD0"/>
    <w:rsid w:val="00AE73F3"/>
    <w:rsid w:val="00AF2157"/>
    <w:rsid w:val="00AF5879"/>
    <w:rsid w:val="00B01BE2"/>
    <w:rsid w:val="00B1252C"/>
    <w:rsid w:val="00B35952"/>
    <w:rsid w:val="00B379A5"/>
    <w:rsid w:val="00B427F6"/>
    <w:rsid w:val="00B456C2"/>
    <w:rsid w:val="00B45757"/>
    <w:rsid w:val="00B52693"/>
    <w:rsid w:val="00B65524"/>
    <w:rsid w:val="00B83415"/>
    <w:rsid w:val="00BA3BBF"/>
    <w:rsid w:val="00BD3FAE"/>
    <w:rsid w:val="00BE0AD5"/>
    <w:rsid w:val="00BE0DA7"/>
    <w:rsid w:val="00BE364D"/>
    <w:rsid w:val="00C064FF"/>
    <w:rsid w:val="00C20705"/>
    <w:rsid w:val="00C30545"/>
    <w:rsid w:val="00C31DB3"/>
    <w:rsid w:val="00C40943"/>
    <w:rsid w:val="00C46170"/>
    <w:rsid w:val="00C56C2E"/>
    <w:rsid w:val="00C56F5B"/>
    <w:rsid w:val="00C72557"/>
    <w:rsid w:val="00C74C78"/>
    <w:rsid w:val="00C759E4"/>
    <w:rsid w:val="00C82397"/>
    <w:rsid w:val="00CA3377"/>
    <w:rsid w:val="00CA6EF3"/>
    <w:rsid w:val="00CB23CB"/>
    <w:rsid w:val="00CC2411"/>
    <w:rsid w:val="00CC67E1"/>
    <w:rsid w:val="00CD52E6"/>
    <w:rsid w:val="00CD774E"/>
    <w:rsid w:val="00D029C6"/>
    <w:rsid w:val="00D209FA"/>
    <w:rsid w:val="00D21585"/>
    <w:rsid w:val="00D2459F"/>
    <w:rsid w:val="00D77387"/>
    <w:rsid w:val="00D77F06"/>
    <w:rsid w:val="00D819BD"/>
    <w:rsid w:val="00DA209B"/>
    <w:rsid w:val="00DE3317"/>
    <w:rsid w:val="00DF3251"/>
    <w:rsid w:val="00E21763"/>
    <w:rsid w:val="00E43FBF"/>
    <w:rsid w:val="00E475EB"/>
    <w:rsid w:val="00E62742"/>
    <w:rsid w:val="00E65DDB"/>
    <w:rsid w:val="00E702F1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D2621"/>
    <w:rsid w:val="00EF18B3"/>
    <w:rsid w:val="00F05EA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A69B9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E490"/>
  <w15:chartTrackingRefBased/>
  <w15:docId w15:val="{2FEF1679-5670-427E-9B2E-A68A830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F0E7-1C86-49D2-B65F-F2729C70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1719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2025-09-09T06:28:00Z</cp:lastPrinted>
  <dcterms:created xsi:type="dcterms:W3CDTF">2025-08-31T08:43:00Z</dcterms:created>
  <dcterms:modified xsi:type="dcterms:W3CDTF">2025-09-30T06:52:00Z</dcterms:modified>
</cp:coreProperties>
</file>