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06BE99F3" w14:textId="4163EA72" w:rsidR="00235EF3" w:rsidRDefault="00663D85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>
        <w:rPr>
          <w:szCs w:val="25"/>
          <w:rtl/>
        </w:rPr>
        <w:t>7 אוקטובר, 2024</w:t>
      </w:r>
      <w:r w:rsidR="00876EEC"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47FA48B3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663D85">
        <w:rPr>
          <w:rFonts w:hint="cs"/>
          <w:b/>
          <w:bCs/>
          <w:szCs w:val="25"/>
          <w:rtl/>
          <w:lang w:eastAsia="en-US"/>
        </w:rPr>
        <w:t>ה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663D85">
        <w:rPr>
          <w:rFonts w:hint="cs"/>
          <w:szCs w:val="25"/>
          <w:rtl/>
          <w:lang w:eastAsia="en-US"/>
        </w:rPr>
        <w:t>50%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496FB25A" w14:textId="21A7A050" w:rsidR="0014364D" w:rsidRDefault="0014364D" w:rsidP="0014364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="00663D85" w:rsidRPr="00663D85"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663D85">
        <w:rPr>
          <w:rFonts w:ascii="David" w:hAnsi="David" w:hint="cs"/>
          <w:b/>
          <w:bCs/>
          <w:szCs w:val="25"/>
          <w:u w:val="single"/>
          <w:rtl/>
        </w:rPr>
        <w:t>24</w:t>
      </w:r>
      <w:r>
        <w:rPr>
          <w:rFonts w:ascii="David" w:hAnsi="David" w:hint="cs"/>
          <w:b/>
          <w:bCs/>
          <w:szCs w:val="25"/>
          <w:u w:val="single"/>
          <w:rtl/>
        </w:rPr>
        <w:t>.</w:t>
      </w:r>
      <w:r w:rsidR="00663D85">
        <w:rPr>
          <w:rFonts w:ascii="David" w:hAnsi="David" w:hint="cs"/>
          <w:b/>
          <w:bCs/>
          <w:szCs w:val="25"/>
          <w:u w:val="single"/>
          <w:rtl/>
        </w:rPr>
        <w:t>10</w:t>
      </w:r>
      <w:r>
        <w:rPr>
          <w:rFonts w:ascii="David" w:hAnsi="David" w:hint="cs"/>
          <w:b/>
          <w:bCs/>
          <w:szCs w:val="25"/>
          <w:u w:val="single"/>
          <w:rtl/>
        </w:rPr>
        <w:t>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4364D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3D85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1491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2024-08-27T07:37:00Z</cp:lastPrinted>
  <dcterms:created xsi:type="dcterms:W3CDTF">2024-04-15T06:59:00Z</dcterms:created>
  <dcterms:modified xsi:type="dcterms:W3CDTF">2024-10-07T05:09:00Z</dcterms:modified>
</cp:coreProperties>
</file>