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FA2A" w14:textId="77777777" w:rsidR="00521C62" w:rsidRDefault="00521C62" w:rsidP="00521C62">
      <w:pPr>
        <w:rPr>
          <w:rFonts w:ascii="David" w:hAnsi="David" w:cs="David"/>
          <w:sz w:val="24"/>
          <w:szCs w:val="24"/>
          <w:rtl/>
        </w:rPr>
      </w:pPr>
      <w:r>
        <w:rPr>
          <w:rFonts w:ascii="David" w:hAnsi="David" w:cs="David" w:hint="cs"/>
          <w:sz w:val="24"/>
          <w:szCs w:val="24"/>
          <w:rtl/>
        </w:rPr>
        <w:t>לכבוד</w:t>
      </w:r>
    </w:p>
    <w:p w14:paraId="2D451A8A" w14:textId="77777777" w:rsidR="00521C62" w:rsidRDefault="00521C62" w:rsidP="00521C62">
      <w:pPr>
        <w:jc w:val="both"/>
        <w:rPr>
          <w:rFonts w:ascii="David" w:hAnsi="David" w:cs="David"/>
          <w:b/>
          <w:bCs/>
          <w:sz w:val="24"/>
          <w:szCs w:val="24"/>
          <w:u w:val="single"/>
          <w:rtl/>
        </w:rPr>
      </w:pPr>
      <w:r w:rsidRPr="001A31D2">
        <w:rPr>
          <w:rFonts w:ascii="David" w:hAnsi="David" w:cs="David" w:hint="cs"/>
          <w:b/>
          <w:bCs/>
          <w:sz w:val="24"/>
          <w:szCs w:val="24"/>
          <w:u w:val="single"/>
          <w:rtl/>
        </w:rPr>
        <w:t>משתתפי המכרז</w:t>
      </w:r>
    </w:p>
    <w:p w14:paraId="4F17EE95" w14:textId="77777777" w:rsidR="00521C62" w:rsidRDefault="00521C62" w:rsidP="00521C62">
      <w:pPr>
        <w:jc w:val="center"/>
        <w:rPr>
          <w:rFonts w:ascii="David" w:hAnsi="David" w:cs="David"/>
          <w:b/>
          <w:bCs/>
          <w:sz w:val="24"/>
          <w:szCs w:val="24"/>
          <w:u w:val="single"/>
          <w:rtl/>
        </w:rPr>
      </w:pPr>
      <w:r>
        <w:rPr>
          <w:rFonts w:ascii="David" w:hAnsi="David" w:cs="David" w:hint="cs"/>
          <w:sz w:val="24"/>
          <w:szCs w:val="24"/>
          <w:rtl/>
        </w:rPr>
        <w:t xml:space="preserve">הנדון: </w:t>
      </w:r>
      <w:r w:rsidRPr="001A31D2">
        <w:rPr>
          <w:rFonts w:ascii="David" w:hAnsi="David" w:cs="David" w:hint="cs"/>
          <w:b/>
          <w:bCs/>
          <w:sz w:val="24"/>
          <w:szCs w:val="24"/>
          <w:u w:val="single"/>
          <w:rtl/>
        </w:rPr>
        <w:t xml:space="preserve">מכרז פומבי מס' </w:t>
      </w:r>
      <w:r>
        <w:rPr>
          <w:rFonts w:ascii="David" w:hAnsi="David" w:cs="David" w:hint="cs"/>
          <w:b/>
          <w:bCs/>
          <w:sz w:val="24"/>
          <w:szCs w:val="24"/>
          <w:u w:val="single"/>
          <w:rtl/>
        </w:rPr>
        <w:t>12/21</w:t>
      </w:r>
      <w:r w:rsidRPr="001A31D2">
        <w:rPr>
          <w:rFonts w:ascii="David" w:hAnsi="David" w:cs="David" w:hint="cs"/>
          <w:b/>
          <w:bCs/>
          <w:sz w:val="24"/>
          <w:szCs w:val="24"/>
          <w:u w:val="single"/>
          <w:rtl/>
        </w:rPr>
        <w:t xml:space="preserve"> </w:t>
      </w:r>
      <w:r w:rsidRPr="001012B4">
        <w:rPr>
          <w:rFonts w:ascii="David" w:hAnsi="David" w:cs="David"/>
          <w:b/>
          <w:bCs/>
          <w:sz w:val="24"/>
          <w:szCs w:val="24"/>
          <w:u w:val="single"/>
          <w:rtl/>
        </w:rPr>
        <w:t>למתן זכות שימוש והפעלה של מתחם האצטדיון העירוני בבת-ים</w:t>
      </w:r>
      <w:r>
        <w:rPr>
          <w:rFonts w:ascii="David" w:hAnsi="David" w:cs="David" w:hint="cs"/>
          <w:b/>
          <w:bCs/>
          <w:sz w:val="24"/>
          <w:szCs w:val="24"/>
          <w:u w:val="single"/>
          <w:rtl/>
        </w:rPr>
        <w:t xml:space="preserve"> </w:t>
      </w:r>
    </w:p>
    <w:p w14:paraId="6428AAC9" w14:textId="1A286C54" w:rsidR="00521C62" w:rsidRDefault="00521C62" w:rsidP="00521C62">
      <w:pPr>
        <w:jc w:val="center"/>
        <w:rPr>
          <w:rFonts w:ascii="David" w:hAnsi="David" w:cs="David"/>
          <w:b/>
          <w:bCs/>
          <w:sz w:val="24"/>
          <w:szCs w:val="24"/>
          <w:u w:val="single"/>
          <w:rtl/>
        </w:rPr>
      </w:pPr>
      <w:r>
        <w:rPr>
          <w:rFonts w:ascii="David" w:hAnsi="David" w:cs="David" w:hint="cs"/>
          <w:b/>
          <w:bCs/>
          <w:sz w:val="24"/>
          <w:szCs w:val="24"/>
          <w:u w:val="single"/>
          <w:rtl/>
        </w:rPr>
        <w:t>מענה מס' 3 לשאלות המשתתפים</w:t>
      </w:r>
    </w:p>
    <w:p w14:paraId="072CC700" w14:textId="77777777" w:rsidR="00521C62" w:rsidRPr="00C91BF4" w:rsidRDefault="00521C62" w:rsidP="00B519A3">
      <w:pPr>
        <w:pStyle w:val="a5"/>
        <w:spacing w:after="0"/>
        <w:ind w:left="-666"/>
        <w:jc w:val="both"/>
        <w:rPr>
          <w:rFonts w:ascii="David" w:hAnsi="David" w:cs="David"/>
          <w:sz w:val="24"/>
          <w:szCs w:val="24"/>
          <w:rtl/>
        </w:rPr>
      </w:pPr>
      <w:r>
        <w:rPr>
          <w:rFonts w:ascii="David" w:hAnsi="David" w:cs="David" w:hint="cs"/>
          <w:sz w:val="24"/>
          <w:szCs w:val="24"/>
          <w:rtl/>
        </w:rPr>
        <w:t>החברה מתכבדת להשיב לשאלות אשר הועברו על ידי המשתתפים כדלקמן:</w:t>
      </w:r>
    </w:p>
    <w:tbl>
      <w:tblPr>
        <w:tblStyle w:val="a8"/>
        <w:tblpPr w:leftFromText="180" w:rightFromText="180" w:vertAnchor="text" w:horzAnchor="margin" w:tblpXSpec="center" w:tblpY="325"/>
        <w:bidiVisual/>
        <w:tblW w:w="10427" w:type="dxa"/>
        <w:tblLook w:val="04A0" w:firstRow="1" w:lastRow="0" w:firstColumn="1" w:lastColumn="0" w:noHBand="0" w:noVBand="1"/>
      </w:tblPr>
      <w:tblGrid>
        <w:gridCol w:w="936"/>
        <w:gridCol w:w="5242"/>
        <w:gridCol w:w="4249"/>
      </w:tblGrid>
      <w:tr w:rsidR="00521C62" w14:paraId="164FAA3D" w14:textId="77777777" w:rsidTr="00B519A3">
        <w:tc>
          <w:tcPr>
            <w:tcW w:w="936" w:type="dxa"/>
            <w:shd w:val="clear" w:color="auto" w:fill="F2F2F2" w:themeFill="background1" w:themeFillShade="F2"/>
          </w:tcPr>
          <w:p w14:paraId="5BDB06A4" w14:textId="77777777" w:rsidR="00521C62" w:rsidRPr="00C91BF4" w:rsidRDefault="00521C62" w:rsidP="002F3240">
            <w:pPr>
              <w:ind w:left="360"/>
              <w:jc w:val="center"/>
              <w:rPr>
                <w:rFonts w:ascii="David" w:hAnsi="David" w:cs="David"/>
                <w:b/>
                <w:bCs/>
                <w:sz w:val="24"/>
                <w:szCs w:val="24"/>
                <w:u w:val="single"/>
                <w:rtl/>
              </w:rPr>
            </w:pPr>
            <w:r>
              <w:rPr>
                <w:rFonts w:ascii="David" w:hAnsi="David" w:cs="David" w:hint="cs"/>
                <w:b/>
                <w:bCs/>
                <w:sz w:val="24"/>
                <w:szCs w:val="24"/>
                <w:u w:val="single"/>
                <w:rtl/>
              </w:rPr>
              <w:t>מס'</w:t>
            </w:r>
          </w:p>
        </w:tc>
        <w:tc>
          <w:tcPr>
            <w:tcW w:w="5242" w:type="dxa"/>
            <w:shd w:val="clear" w:color="auto" w:fill="F2F2F2" w:themeFill="background1" w:themeFillShade="F2"/>
          </w:tcPr>
          <w:p w14:paraId="7C9AB1E4" w14:textId="77777777" w:rsidR="00521C62" w:rsidRPr="00C91BF4" w:rsidRDefault="00521C62" w:rsidP="002F3240">
            <w:pPr>
              <w:jc w:val="center"/>
              <w:rPr>
                <w:rFonts w:ascii="David" w:hAnsi="David" w:cs="David"/>
                <w:b/>
                <w:bCs/>
                <w:sz w:val="24"/>
                <w:szCs w:val="24"/>
                <w:rtl/>
              </w:rPr>
            </w:pPr>
            <w:r w:rsidRPr="00C91BF4">
              <w:rPr>
                <w:rFonts w:ascii="David" w:hAnsi="David" w:cs="David" w:hint="cs"/>
                <w:b/>
                <w:bCs/>
                <w:sz w:val="24"/>
                <w:szCs w:val="24"/>
                <w:rtl/>
              </w:rPr>
              <w:t>השאלה</w:t>
            </w:r>
          </w:p>
        </w:tc>
        <w:tc>
          <w:tcPr>
            <w:tcW w:w="4249" w:type="dxa"/>
            <w:shd w:val="clear" w:color="auto" w:fill="F2F2F2" w:themeFill="background1" w:themeFillShade="F2"/>
          </w:tcPr>
          <w:p w14:paraId="55A782BF" w14:textId="77777777" w:rsidR="00521C62" w:rsidRPr="00C91BF4" w:rsidRDefault="00521C62" w:rsidP="002F3240">
            <w:pPr>
              <w:jc w:val="center"/>
              <w:rPr>
                <w:rFonts w:ascii="David" w:hAnsi="David" w:cs="David"/>
                <w:b/>
                <w:bCs/>
                <w:sz w:val="24"/>
                <w:szCs w:val="24"/>
                <w:rtl/>
              </w:rPr>
            </w:pPr>
            <w:r w:rsidRPr="00C91BF4">
              <w:rPr>
                <w:rFonts w:ascii="David" w:hAnsi="David" w:cs="David" w:hint="cs"/>
                <w:b/>
                <w:bCs/>
                <w:sz w:val="24"/>
                <w:szCs w:val="24"/>
                <w:rtl/>
              </w:rPr>
              <w:t>מענה החברה</w:t>
            </w:r>
          </w:p>
        </w:tc>
      </w:tr>
      <w:tr w:rsidR="00521C62" w14:paraId="05CE618C" w14:textId="77777777" w:rsidTr="00B519A3">
        <w:tc>
          <w:tcPr>
            <w:tcW w:w="936" w:type="dxa"/>
          </w:tcPr>
          <w:p w14:paraId="43628E17" w14:textId="77777777" w:rsidR="00521C62" w:rsidRPr="00C91BF4" w:rsidRDefault="00521C62" w:rsidP="00521C62">
            <w:pPr>
              <w:pStyle w:val="a5"/>
              <w:numPr>
                <w:ilvl w:val="0"/>
                <w:numId w:val="1"/>
              </w:numPr>
              <w:ind w:hanging="720"/>
              <w:jc w:val="center"/>
              <w:rPr>
                <w:rFonts w:ascii="David" w:hAnsi="David" w:cs="David"/>
                <w:b/>
                <w:bCs/>
                <w:sz w:val="24"/>
                <w:szCs w:val="24"/>
                <w:u w:val="single"/>
                <w:rtl/>
              </w:rPr>
            </w:pPr>
          </w:p>
        </w:tc>
        <w:tc>
          <w:tcPr>
            <w:tcW w:w="5242" w:type="dxa"/>
            <w:shd w:val="clear" w:color="auto" w:fill="auto"/>
          </w:tcPr>
          <w:p w14:paraId="36F1EEEF" w14:textId="7988B823" w:rsidR="00521C62" w:rsidRDefault="00521C62" w:rsidP="002F3240">
            <w:pPr>
              <w:jc w:val="both"/>
              <w:rPr>
                <w:rFonts w:ascii="David" w:hAnsi="David" w:cs="David"/>
                <w:sz w:val="24"/>
                <w:szCs w:val="24"/>
                <w:rtl/>
              </w:rPr>
            </w:pPr>
            <w:r>
              <w:rPr>
                <w:rFonts w:ascii="David" w:hAnsi="David" w:cs="David" w:hint="cs"/>
                <w:sz w:val="24"/>
                <w:szCs w:val="24"/>
                <w:rtl/>
              </w:rPr>
              <w:t>הברה מטעם החברה</w:t>
            </w:r>
          </w:p>
        </w:tc>
        <w:tc>
          <w:tcPr>
            <w:tcW w:w="4249" w:type="dxa"/>
            <w:shd w:val="clear" w:color="auto" w:fill="auto"/>
          </w:tcPr>
          <w:p w14:paraId="7A6813D9" w14:textId="02339AD6" w:rsidR="00521C62" w:rsidRPr="00246749" w:rsidRDefault="00521C62"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 xml:space="preserve">על אף האמור במסמכי המכרז ובמענה לשאלות המשתתפים </w:t>
            </w:r>
            <w:r w:rsidRPr="00521C62">
              <w:rPr>
                <w:rFonts w:ascii="David" w:hAnsi="David" w:cs="David" w:hint="cs"/>
                <w:b/>
                <w:bCs/>
                <w:sz w:val="24"/>
                <w:szCs w:val="24"/>
                <w:rtl/>
              </w:rPr>
              <w:t>החברה לא תבצע את עבודות הקמת המגרשים הסינטטיים</w:t>
            </w:r>
            <w:r>
              <w:rPr>
                <w:rFonts w:ascii="David" w:hAnsi="David" w:cs="David" w:hint="cs"/>
                <w:sz w:val="24"/>
                <w:szCs w:val="24"/>
                <w:rtl/>
              </w:rPr>
              <w:t xml:space="preserve"> ומגרשי האימונים יימסרו לזוכה במצבם </w:t>
            </w:r>
            <w:r>
              <w:rPr>
                <w:rFonts w:ascii="David" w:hAnsi="David" w:cs="David" w:hint="cs"/>
                <w:sz w:val="24"/>
                <w:szCs w:val="24"/>
              </w:rPr>
              <w:t>AS IS</w:t>
            </w:r>
            <w:r>
              <w:rPr>
                <w:rFonts w:ascii="David" w:hAnsi="David" w:cs="David" w:hint="cs"/>
                <w:sz w:val="24"/>
                <w:szCs w:val="24"/>
                <w:rtl/>
              </w:rPr>
              <w:t>.</w:t>
            </w:r>
          </w:p>
        </w:tc>
      </w:tr>
      <w:tr w:rsidR="00521C62" w14:paraId="3EA5763F" w14:textId="77777777" w:rsidTr="00B519A3">
        <w:tc>
          <w:tcPr>
            <w:tcW w:w="936" w:type="dxa"/>
          </w:tcPr>
          <w:p w14:paraId="09429944" w14:textId="77777777" w:rsidR="00521C62" w:rsidRPr="00C91BF4" w:rsidRDefault="00521C62" w:rsidP="00521C62">
            <w:pPr>
              <w:pStyle w:val="a5"/>
              <w:numPr>
                <w:ilvl w:val="0"/>
                <w:numId w:val="1"/>
              </w:numPr>
              <w:ind w:hanging="720"/>
              <w:jc w:val="center"/>
              <w:rPr>
                <w:rFonts w:ascii="David" w:hAnsi="David" w:cs="David"/>
                <w:b/>
                <w:bCs/>
                <w:sz w:val="24"/>
                <w:szCs w:val="24"/>
                <w:u w:val="single"/>
                <w:rtl/>
              </w:rPr>
            </w:pPr>
          </w:p>
        </w:tc>
        <w:tc>
          <w:tcPr>
            <w:tcW w:w="5242" w:type="dxa"/>
            <w:shd w:val="clear" w:color="auto" w:fill="auto"/>
          </w:tcPr>
          <w:p w14:paraId="798CB739" w14:textId="17AAE48B" w:rsidR="00521C62" w:rsidRDefault="00521C62" w:rsidP="002F3240">
            <w:pPr>
              <w:jc w:val="both"/>
              <w:rPr>
                <w:rFonts w:ascii="David" w:hAnsi="David" w:cs="David"/>
                <w:sz w:val="24"/>
                <w:szCs w:val="24"/>
                <w:rtl/>
              </w:rPr>
            </w:pPr>
            <w:r>
              <w:rPr>
                <w:rFonts w:ascii="David" w:hAnsi="David" w:cs="David" w:hint="cs"/>
                <w:sz w:val="24"/>
                <w:szCs w:val="24"/>
                <w:rtl/>
              </w:rPr>
              <w:t>המציע</w:t>
            </w:r>
            <w:r w:rsidRPr="00521C62">
              <w:rPr>
                <w:rFonts w:ascii="David" w:hAnsi="David" w:cs="David"/>
                <w:sz w:val="24"/>
                <w:szCs w:val="24"/>
                <w:rtl/>
              </w:rPr>
              <w:t xml:space="preserve"> שוקל לגשת למכרז מתוך כוונה כי ככל שיוכרז כזוכה יוקם על ידו בחלק מהשטח מתחם אימונים לקבוצה הבוגרת של המועדון. מתחם האימונים צפוי לכלול שני מגרשי אימונים וכן מבנה לחדרי הלבשה, וידאו, טיפולים וכדומה. המועדון אינו צופה כי ישתמש באצטדיון ובמגרש הדשא הסינטטי לצרכיו באופן שוטף. </w:t>
            </w:r>
          </w:p>
          <w:p w14:paraId="5AFE7488" w14:textId="5F16A1C5" w:rsidR="00521C62" w:rsidRPr="00246749" w:rsidRDefault="00521C62" w:rsidP="002F3240">
            <w:pPr>
              <w:jc w:val="both"/>
              <w:rPr>
                <w:rFonts w:ascii="David" w:hAnsi="David" w:cs="David"/>
                <w:sz w:val="24"/>
                <w:szCs w:val="24"/>
                <w:rtl/>
              </w:rPr>
            </w:pPr>
            <w:r w:rsidRPr="00521C62">
              <w:rPr>
                <w:rFonts w:ascii="David" w:hAnsi="David" w:cs="David"/>
                <w:sz w:val="24"/>
                <w:szCs w:val="24"/>
                <w:rtl/>
              </w:rPr>
              <w:t xml:space="preserve">לפיכך, </w:t>
            </w:r>
            <w:r>
              <w:rPr>
                <w:rFonts w:ascii="David" w:hAnsi="David" w:cs="David" w:hint="cs"/>
                <w:sz w:val="24"/>
                <w:szCs w:val="24"/>
                <w:rtl/>
              </w:rPr>
              <w:t>המציע</w:t>
            </w:r>
            <w:r w:rsidRPr="00521C62">
              <w:rPr>
                <w:rFonts w:ascii="David" w:hAnsi="David" w:cs="David"/>
                <w:sz w:val="24"/>
                <w:szCs w:val="24"/>
                <w:rtl/>
              </w:rPr>
              <w:t xml:space="preserve"> מבקש מכם לשקול לאפשר לשני גופים נפרדים להגיש הצעה משותפת באופן בו שני גופים (אשר עומדים בתנאי הסף) יוכלו להגיש הצעה משותפת (ללא ערבות הדדית ואחריות ביניהם) כאשר החלוקה ביניהם תהיה שהמועדון יקים את מתחם האימונים בשטח המסומן בעיגול צהוב והגוף השני יעשה שימוש ויהא אחראי על האצטדיון והמגרש הסינטטי</w:t>
            </w:r>
            <w:r>
              <w:rPr>
                <w:rFonts w:ascii="David" w:hAnsi="David" w:cs="David" w:hint="cs"/>
                <w:sz w:val="24"/>
                <w:szCs w:val="24"/>
                <w:rtl/>
              </w:rPr>
              <w:t>.</w:t>
            </w:r>
            <w:r w:rsidRPr="00521C62">
              <w:rPr>
                <w:rFonts w:ascii="David" w:hAnsi="David" w:cs="David"/>
                <w:sz w:val="24"/>
                <w:szCs w:val="24"/>
                <w:rtl/>
              </w:rPr>
              <w:t xml:space="preserve"> </w:t>
            </w:r>
          </w:p>
        </w:tc>
        <w:tc>
          <w:tcPr>
            <w:tcW w:w="4249" w:type="dxa"/>
            <w:shd w:val="clear" w:color="auto" w:fill="auto"/>
          </w:tcPr>
          <w:p w14:paraId="52491EC0" w14:textId="77777777" w:rsidR="00521C62" w:rsidRDefault="00521C62"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בקשה נדחית.</w:t>
            </w:r>
          </w:p>
          <w:p w14:paraId="208A3699" w14:textId="77777777" w:rsidR="00521C62" w:rsidRDefault="00521C62" w:rsidP="002F3240">
            <w:pPr>
              <w:tabs>
                <w:tab w:val="left" w:pos="1221"/>
              </w:tabs>
              <w:spacing w:after="0" w:line="240" w:lineRule="auto"/>
              <w:ind w:right="34"/>
              <w:contextualSpacing/>
              <w:jc w:val="both"/>
              <w:rPr>
                <w:rFonts w:ascii="David" w:hAnsi="David" w:cs="David"/>
                <w:sz w:val="24"/>
                <w:szCs w:val="24"/>
                <w:rtl/>
              </w:rPr>
            </w:pPr>
          </w:p>
          <w:p w14:paraId="32FA4F49" w14:textId="77777777" w:rsidR="0018339C" w:rsidRDefault="00521C62"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 xml:space="preserve"> עם זאת, החברה/העירייה תאפשר לזוכה במכרז, לתת זכות שימוש קבועה בחלקים מסוימים במתחם (אך לא בכולו) לגורם אחר.</w:t>
            </w:r>
          </w:p>
          <w:p w14:paraId="3C3D3F20" w14:textId="77777777" w:rsidR="0018339C" w:rsidRDefault="0018339C" w:rsidP="002F3240">
            <w:pPr>
              <w:tabs>
                <w:tab w:val="left" w:pos="1221"/>
              </w:tabs>
              <w:spacing w:after="0" w:line="240" w:lineRule="auto"/>
              <w:ind w:right="34"/>
              <w:contextualSpacing/>
              <w:jc w:val="both"/>
              <w:rPr>
                <w:rFonts w:ascii="David" w:hAnsi="David" w:cs="David"/>
                <w:sz w:val="24"/>
                <w:szCs w:val="24"/>
                <w:rtl/>
              </w:rPr>
            </w:pPr>
          </w:p>
          <w:p w14:paraId="2B10C553" w14:textId="09E34017" w:rsidR="00521C62" w:rsidRDefault="0018339C"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יובהר כי הזוכה יידרש לקבל את אישור העירייה והחברה לצורך מתן זכות שימוש לגורם אחר האמור אך הן לא יסרבו אלא מטעמים מוצדקים.</w:t>
            </w:r>
            <w:r w:rsidR="00521C62">
              <w:rPr>
                <w:rFonts w:ascii="David" w:hAnsi="David" w:cs="David" w:hint="cs"/>
                <w:sz w:val="24"/>
                <w:szCs w:val="24"/>
                <w:rtl/>
              </w:rPr>
              <w:t xml:space="preserve"> </w:t>
            </w:r>
          </w:p>
          <w:p w14:paraId="20628B9E" w14:textId="77777777" w:rsidR="00521C62" w:rsidRDefault="00521C62" w:rsidP="002F3240">
            <w:pPr>
              <w:tabs>
                <w:tab w:val="left" w:pos="1221"/>
              </w:tabs>
              <w:spacing w:after="0" w:line="240" w:lineRule="auto"/>
              <w:ind w:right="34"/>
              <w:contextualSpacing/>
              <w:jc w:val="both"/>
              <w:rPr>
                <w:rFonts w:ascii="David" w:hAnsi="David" w:cs="David"/>
                <w:sz w:val="24"/>
                <w:szCs w:val="24"/>
                <w:rtl/>
              </w:rPr>
            </w:pPr>
          </w:p>
          <w:p w14:paraId="28401D01" w14:textId="4C31135E" w:rsidR="00521C62" w:rsidRPr="00246749" w:rsidRDefault="00521C62"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יודגש כי בין הגורם האחר לבין העירייה/חברה לא יהיה כל קשר והזוכה במכרז יהיה אחראי לגורם האחר באופן מלא על כל המשתמע מכך והחברה/העירייה ייפרעו מהזוכה בגין כל הפרה או נזק שיגרום הגורם האחר.</w:t>
            </w:r>
          </w:p>
        </w:tc>
      </w:tr>
      <w:tr w:rsidR="00521C62" w14:paraId="26A3E25D" w14:textId="77777777" w:rsidTr="00B519A3">
        <w:tc>
          <w:tcPr>
            <w:tcW w:w="936" w:type="dxa"/>
          </w:tcPr>
          <w:p w14:paraId="311E128B" w14:textId="77777777" w:rsidR="00521C62" w:rsidRPr="00C91BF4" w:rsidRDefault="00521C62" w:rsidP="00521C62">
            <w:pPr>
              <w:pStyle w:val="a5"/>
              <w:numPr>
                <w:ilvl w:val="0"/>
                <w:numId w:val="1"/>
              </w:numPr>
              <w:ind w:hanging="720"/>
              <w:jc w:val="center"/>
              <w:rPr>
                <w:rFonts w:ascii="David" w:hAnsi="David" w:cs="David"/>
                <w:b/>
                <w:bCs/>
                <w:sz w:val="24"/>
                <w:szCs w:val="24"/>
                <w:u w:val="single"/>
                <w:rtl/>
              </w:rPr>
            </w:pPr>
          </w:p>
        </w:tc>
        <w:tc>
          <w:tcPr>
            <w:tcW w:w="5242" w:type="dxa"/>
            <w:shd w:val="clear" w:color="auto" w:fill="auto"/>
          </w:tcPr>
          <w:p w14:paraId="69BA2D65" w14:textId="051F4880" w:rsidR="00521C62" w:rsidRDefault="00521C62" w:rsidP="002F3240">
            <w:pPr>
              <w:jc w:val="both"/>
              <w:rPr>
                <w:rFonts w:ascii="David" w:hAnsi="David" w:cs="David"/>
                <w:sz w:val="24"/>
                <w:szCs w:val="24"/>
                <w:rtl/>
              </w:rPr>
            </w:pPr>
            <w:r w:rsidRPr="00521C62">
              <w:rPr>
                <w:rFonts w:ascii="David" w:hAnsi="David" w:cs="David"/>
                <w:sz w:val="24"/>
                <w:szCs w:val="24"/>
                <w:rtl/>
              </w:rPr>
              <w:t>ביחס לסעיף 1.14 לתנאים הכללי</w:t>
            </w:r>
            <w:r>
              <w:rPr>
                <w:rFonts w:ascii="David" w:hAnsi="David" w:cs="David" w:hint="cs"/>
                <w:sz w:val="24"/>
                <w:szCs w:val="24"/>
                <w:rtl/>
              </w:rPr>
              <w:t>י</w:t>
            </w:r>
            <w:r w:rsidRPr="00521C62">
              <w:rPr>
                <w:rFonts w:ascii="David" w:hAnsi="David" w:cs="David"/>
                <w:sz w:val="24"/>
                <w:szCs w:val="24"/>
                <w:rtl/>
              </w:rPr>
              <w:t>ם</w:t>
            </w:r>
            <w:r>
              <w:rPr>
                <w:rFonts w:ascii="David" w:hAnsi="David" w:cs="David" w:hint="cs"/>
                <w:sz w:val="24"/>
                <w:szCs w:val="24"/>
                <w:rtl/>
              </w:rPr>
              <w:t xml:space="preserve">, </w:t>
            </w:r>
            <w:r w:rsidRPr="00521C62">
              <w:rPr>
                <w:rFonts w:ascii="David" w:hAnsi="David" w:cs="David"/>
                <w:sz w:val="24"/>
                <w:szCs w:val="24"/>
                <w:rtl/>
              </w:rPr>
              <w:t>בסבב שאלות ההבהרה הראשון ביקשנו כי כל האישורים וההיתרים הנדרשים יהיו תנאי לכניסתו לתוקף של ההסכם. הבקשה התקבלה באופן חלקי, כך שככל ולא ניתן יהיה להשתמש במתחם מסיבות שאינן תלויות בזוכה, ההסכם יבוטל מבלי שתהא כל טענה כנגד הזוכה. במכתבנו מיום 2.8.2021 ביקשנו להבהיר כי קבלת אישור העירייה לתוכניותינו תהווה תנאי לכניסתו לתוקף של ההסכם. הבקשה התקבלה באופן חלקי, כך דרישת העירייה/החברה לשינוי בתוכניות ואשר אינו שינוי מהותי לא יקנה למפעיל זכות לסיים את ההסכם. לאור זאת, נבקש להבהיר פעם נוספת כי המועדון מתכוון להקים במתחם האימונים שני מגרשי אימונים וכן מבנה לשימוש הקבוצה הבוגרת של המועדון. לפיכך, נבקש כי קבלת אישור העירייה וכן ועדות התכנון והבנייה לתוכנית המוצעת שלנו לעבודות במתחם יהווה תנאי מתלה, אשר בלעדיו ההסכם כלל לא ייכנס לתוקף, כך שככל שלא יתקבל האישור כאמור לחברה ו/או לעירייה לא תהיה כל טענה ו/או תביעה נגדנו בקשר לביטול ההסכם בשל אי התקיימות התנאי המתלה.</w:t>
            </w:r>
          </w:p>
        </w:tc>
        <w:tc>
          <w:tcPr>
            <w:tcW w:w="4249" w:type="dxa"/>
            <w:shd w:val="clear" w:color="auto" w:fill="auto"/>
          </w:tcPr>
          <w:p w14:paraId="266C5FCC" w14:textId="253FA499" w:rsidR="00521C62" w:rsidRDefault="004616F6" w:rsidP="002F3240">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בקשה מתקבלת.</w:t>
            </w:r>
          </w:p>
        </w:tc>
      </w:tr>
      <w:tr w:rsidR="00CA1D02" w14:paraId="5B59883B" w14:textId="77777777" w:rsidTr="00B519A3">
        <w:tc>
          <w:tcPr>
            <w:tcW w:w="936" w:type="dxa"/>
          </w:tcPr>
          <w:p w14:paraId="491C16D7" w14:textId="77777777" w:rsidR="00CA1D02" w:rsidRPr="00C91BF4" w:rsidRDefault="00CA1D02" w:rsidP="00521C62">
            <w:pPr>
              <w:pStyle w:val="a5"/>
              <w:numPr>
                <w:ilvl w:val="0"/>
                <w:numId w:val="1"/>
              </w:numPr>
              <w:ind w:hanging="720"/>
              <w:jc w:val="center"/>
              <w:rPr>
                <w:rFonts w:ascii="David" w:hAnsi="David" w:cs="David"/>
                <w:b/>
                <w:bCs/>
                <w:sz w:val="24"/>
                <w:szCs w:val="24"/>
                <w:u w:val="single"/>
                <w:rtl/>
              </w:rPr>
            </w:pPr>
          </w:p>
        </w:tc>
        <w:tc>
          <w:tcPr>
            <w:tcW w:w="5242" w:type="dxa"/>
            <w:shd w:val="clear" w:color="auto" w:fill="auto"/>
          </w:tcPr>
          <w:p w14:paraId="55A520F4" w14:textId="26719956" w:rsidR="00CA1D02" w:rsidRPr="00521C62" w:rsidRDefault="00CA1D02" w:rsidP="002F3240">
            <w:pPr>
              <w:jc w:val="both"/>
              <w:rPr>
                <w:rFonts w:ascii="David" w:hAnsi="David" w:cs="David"/>
                <w:sz w:val="24"/>
                <w:szCs w:val="24"/>
                <w:rtl/>
              </w:rPr>
            </w:pPr>
            <w:r w:rsidRPr="00CA1D02">
              <w:rPr>
                <w:rFonts w:ascii="David" w:hAnsi="David" w:cs="David"/>
                <w:sz w:val="24"/>
                <w:szCs w:val="24"/>
                <w:rtl/>
              </w:rPr>
              <w:t>ביחס לסעיף 1.18 לתנאי המכרז (עמוד 5 למסמכי המכרז), בסבב שאלות ההבהרה הראשון ביקשנו כי פינוי המגרש יתבצע רק לאחר קבלת החלק היחסי של השקעות הזוכה (ככל שההסכם לא יוארך). הבקשה נדחתה על ידכם. במכתבנו מיום 2.8.2021, ביקשנו כי תשקלו בשנית את בקשתנו כאמור, או לחילופין, ביקשנו כי תציעו בטוחה אחרת להבטחת קבלת החלק היחסי של השקעות הזוכה כאמור. הבקשה נדחתה על ידכם פעם נוספת אולם ציינתם כי "כי החברה תעשה ככל שביכולתה כי החזר ההשקעות ייעשה בד בבד עם פינוי המתחם". עמדתו היא כי התחייבות "לעשות ככל שביכולתה" אינה מספיקה לאור ההשקעות הגבוהות הצפויות וכי לכל הפחות יש לציין כי הפינוי לא יתבצע לפני תשלום הפיצוי.</w:t>
            </w:r>
          </w:p>
        </w:tc>
        <w:tc>
          <w:tcPr>
            <w:tcW w:w="4249" w:type="dxa"/>
            <w:shd w:val="clear" w:color="auto" w:fill="auto"/>
          </w:tcPr>
          <w:p w14:paraId="6DB8A3DD" w14:textId="77777777" w:rsidR="00CA1D02" w:rsidRDefault="004616F6" w:rsidP="002F3240">
            <w:pPr>
              <w:tabs>
                <w:tab w:val="left" w:pos="1221"/>
              </w:tabs>
              <w:spacing w:after="0" w:line="240" w:lineRule="auto"/>
              <w:ind w:right="34"/>
              <w:contextualSpacing/>
              <w:jc w:val="both"/>
              <w:rPr>
                <w:rFonts w:ascii="David" w:hAnsi="David" w:cs="David"/>
                <w:sz w:val="24"/>
                <w:szCs w:val="24"/>
                <w:highlight w:val="yellow"/>
                <w:rtl/>
              </w:rPr>
            </w:pPr>
            <w:r w:rsidRPr="004616F6">
              <w:rPr>
                <w:rFonts w:ascii="David" w:hAnsi="David" w:cs="David" w:hint="cs"/>
                <w:sz w:val="24"/>
                <w:szCs w:val="24"/>
                <w:rtl/>
              </w:rPr>
              <w:t>בקשה נדחית.</w:t>
            </w:r>
          </w:p>
          <w:p w14:paraId="16E024F1" w14:textId="33C2181B" w:rsidR="004616F6" w:rsidRPr="00B519A3" w:rsidRDefault="004616F6" w:rsidP="002F3240">
            <w:pPr>
              <w:tabs>
                <w:tab w:val="left" w:pos="1221"/>
              </w:tabs>
              <w:spacing w:after="0" w:line="240" w:lineRule="auto"/>
              <w:ind w:right="34"/>
              <w:contextualSpacing/>
              <w:jc w:val="both"/>
              <w:rPr>
                <w:rFonts w:ascii="David" w:hAnsi="David" w:cs="David"/>
                <w:sz w:val="24"/>
                <w:szCs w:val="24"/>
                <w:rtl/>
              </w:rPr>
            </w:pPr>
            <w:r w:rsidRPr="00B519A3">
              <w:rPr>
                <w:rFonts w:ascii="David" w:hAnsi="David" w:cs="David" w:hint="cs"/>
                <w:sz w:val="24"/>
                <w:szCs w:val="24"/>
                <w:rtl/>
              </w:rPr>
              <w:t>העירייה והחברה מתחייבות להחזיר את ההשקעות בהתאם להוראות החוזה</w:t>
            </w:r>
            <w:r w:rsidR="00B519A3" w:rsidRPr="00B519A3">
              <w:rPr>
                <w:rFonts w:ascii="David" w:hAnsi="David" w:cs="David" w:hint="cs"/>
                <w:sz w:val="24"/>
                <w:szCs w:val="24"/>
                <w:rtl/>
              </w:rPr>
              <w:t xml:space="preserve"> וככל הניתן במועד פינוי המתחם.</w:t>
            </w:r>
          </w:p>
          <w:p w14:paraId="3AEE199E" w14:textId="287BE30C" w:rsidR="004616F6" w:rsidRPr="00CA1D02" w:rsidRDefault="004616F6" w:rsidP="002F3240">
            <w:pPr>
              <w:tabs>
                <w:tab w:val="left" w:pos="1221"/>
              </w:tabs>
              <w:spacing w:after="0" w:line="240" w:lineRule="auto"/>
              <w:ind w:right="34"/>
              <w:contextualSpacing/>
              <w:jc w:val="both"/>
              <w:rPr>
                <w:rFonts w:ascii="David" w:hAnsi="David" w:cs="David"/>
                <w:sz w:val="24"/>
                <w:szCs w:val="24"/>
                <w:highlight w:val="yellow"/>
                <w:rtl/>
              </w:rPr>
            </w:pPr>
            <w:r w:rsidRPr="00B519A3">
              <w:rPr>
                <w:rFonts w:ascii="David" w:hAnsi="David" w:cs="David" w:hint="cs"/>
                <w:sz w:val="24"/>
                <w:szCs w:val="24"/>
                <w:rtl/>
              </w:rPr>
              <w:t>עם זאת, אין באפשרותן</w:t>
            </w:r>
            <w:r w:rsidR="00B519A3" w:rsidRPr="00B519A3">
              <w:rPr>
                <w:rFonts w:ascii="David" w:hAnsi="David" w:cs="David" w:hint="cs"/>
                <w:sz w:val="24"/>
                <w:szCs w:val="24"/>
                <w:rtl/>
              </w:rPr>
              <w:t xml:space="preserve"> להיענות לבקשה.</w:t>
            </w:r>
          </w:p>
        </w:tc>
      </w:tr>
    </w:tbl>
    <w:p w14:paraId="3E7DA21F" w14:textId="77777777" w:rsidR="00B519A3" w:rsidRPr="00B519A3" w:rsidRDefault="00B519A3" w:rsidP="00CA1D02">
      <w:pPr>
        <w:pStyle w:val="a5"/>
        <w:numPr>
          <w:ilvl w:val="0"/>
          <w:numId w:val="1"/>
        </w:numPr>
        <w:ind w:left="-241" w:hanging="708"/>
        <w:jc w:val="both"/>
        <w:rPr>
          <w:rFonts w:ascii="David" w:eastAsia="Times New Roman" w:hAnsi="David" w:cs="David"/>
          <w:kern w:val="28"/>
          <w:sz w:val="24"/>
          <w:szCs w:val="24"/>
        </w:rPr>
      </w:pPr>
    </w:p>
    <w:p w14:paraId="4DE6CE4C" w14:textId="3EFB01B7" w:rsidR="00CA1D02" w:rsidRPr="00CA1D02" w:rsidRDefault="00CA1D02" w:rsidP="00CA1D02">
      <w:pPr>
        <w:pStyle w:val="a5"/>
        <w:numPr>
          <w:ilvl w:val="0"/>
          <w:numId w:val="1"/>
        </w:numPr>
        <w:ind w:left="-241" w:hanging="708"/>
        <w:jc w:val="both"/>
        <w:rPr>
          <w:rFonts w:ascii="David" w:eastAsia="Times New Roman" w:hAnsi="David" w:cs="David"/>
          <w:kern w:val="28"/>
          <w:sz w:val="24"/>
          <w:szCs w:val="24"/>
        </w:rPr>
      </w:pPr>
      <w:r w:rsidRPr="00B519A3">
        <w:rPr>
          <w:rFonts w:ascii="David" w:eastAsia="Times New Roman" w:hAnsi="David" w:cs="David" w:hint="cs"/>
          <w:b/>
          <w:bCs/>
          <w:kern w:val="28"/>
          <w:sz w:val="24"/>
          <w:szCs w:val="24"/>
          <w:rtl/>
        </w:rPr>
        <w:t>שאלה</w:t>
      </w:r>
      <w:r>
        <w:rPr>
          <w:rFonts w:ascii="David" w:eastAsia="Times New Roman" w:hAnsi="David" w:cs="David" w:hint="cs"/>
          <w:kern w:val="28"/>
          <w:sz w:val="24"/>
          <w:szCs w:val="24"/>
          <w:rtl/>
        </w:rPr>
        <w:t xml:space="preserve">- </w:t>
      </w:r>
      <w:r w:rsidRPr="00CA1D02">
        <w:rPr>
          <w:rFonts w:ascii="David" w:eastAsia="Times New Roman" w:hAnsi="David" w:cs="David" w:hint="cs"/>
          <w:kern w:val="28"/>
          <w:sz w:val="24"/>
          <w:szCs w:val="24"/>
          <w:rtl/>
        </w:rPr>
        <w:t>נבקש להבין האם השטחים המסומנים בצהוב בסקיצה שלהלן שייכים לעיריית בת-ים. לאור בירורים שערכנו בעניין, נראה כי קיימת אי-ודאות האם השטחים המסומנים שייכים לעיריית ראשון לציון או לעיריית בת-ים. על כן, נודה לתשובה חד-משמעית בעניין. על מנת להקים שני מגרשים במתחם האימונים אנו נדרש לעשות שימוש בשטחים אלו. לפיכך, ככל שהשטחים שייכים לעיריית בת-ים נבקש את אישורכם לעשות בהם שימוש. ככל שהם שייכים לעיריית ראשון לציון, נבקש שתסייעו בהסדרת העניין מול עיריית ראשון לציון.</w:t>
      </w:r>
    </w:p>
    <w:p w14:paraId="22225683" w14:textId="006E798E" w:rsidR="00521C62" w:rsidRDefault="00CA1D02" w:rsidP="00521C62">
      <w:pPr>
        <w:tabs>
          <w:tab w:val="left" w:pos="702"/>
        </w:tabs>
        <w:spacing w:after="160" w:line="360" w:lineRule="auto"/>
        <w:ind w:left="792"/>
        <w:contextualSpacing/>
        <w:jc w:val="both"/>
        <w:rPr>
          <w:rFonts w:ascii="David" w:eastAsia="Calibri" w:hAnsi="David" w:cs="David"/>
          <w:color w:val="000000"/>
          <w:sz w:val="24"/>
          <w:szCs w:val="24"/>
          <w:rtl/>
        </w:rPr>
      </w:pPr>
      <w:r>
        <w:rPr>
          <w:noProof/>
        </w:rPr>
        <w:drawing>
          <wp:anchor distT="0" distB="0" distL="114300" distR="114300" simplePos="0" relativeHeight="251659264" behindDoc="0" locked="0" layoutInCell="1" allowOverlap="1" wp14:anchorId="7A784F63" wp14:editId="0190F3C0">
            <wp:simplePos x="0" y="0"/>
            <wp:positionH relativeFrom="column">
              <wp:posOffset>1126490</wp:posOffset>
            </wp:positionH>
            <wp:positionV relativeFrom="paragraph">
              <wp:posOffset>209779</wp:posOffset>
            </wp:positionV>
            <wp:extent cx="4450080" cy="2189480"/>
            <wp:effectExtent l="0" t="0" r="7620" b="1270"/>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50080" cy="2189480"/>
                    </a:xfrm>
                    <a:prstGeom prst="rect">
                      <a:avLst/>
                    </a:prstGeom>
                  </pic:spPr>
                </pic:pic>
              </a:graphicData>
            </a:graphic>
            <wp14:sizeRelH relativeFrom="margin">
              <wp14:pctWidth>0</wp14:pctWidth>
            </wp14:sizeRelH>
          </wp:anchor>
        </w:drawing>
      </w:r>
    </w:p>
    <w:p w14:paraId="5C14E239" w14:textId="11E1044B" w:rsidR="00CA1D02" w:rsidRDefault="00CA1D02" w:rsidP="00521C62">
      <w:pPr>
        <w:tabs>
          <w:tab w:val="left" w:pos="702"/>
        </w:tabs>
        <w:spacing w:after="160" w:line="360" w:lineRule="auto"/>
        <w:ind w:left="792"/>
        <w:contextualSpacing/>
        <w:jc w:val="both"/>
        <w:rPr>
          <w:rFonts w:ascii="David" w:eastAsia="Calibri" w:hAnsi="David" w:cs="David"/>
          <w:color w:val="000000"/>
          <w:sz w:val="24"/>
          <w:szCs w:val="24"/>
          <w:rtl/>
        </w:rPr>
      </w:pPr>
    </w:p>
    <w:p w14:paraId="7631F92E" w14:textId="0D80CE7F" w:rsidR="00CA1D02" w:rsidRDefault="00CA1D02" w:rsidP="00521C62">
      <w:pPr>
        <w:tabs>
          <w:tab w:val="left" w:pos="702"/>
        </w:tabs>
        <w:spacing w:after="160" w:line="360" w:lineRule="auto"/>
        <w:ind w:left="792"/>
        <w:contextualSpacing/>
        <w:jc w:val="both"/>
        <w:rPr>
          <w:rFonts w:ascii="David" w:eastAsia="Calibri" w:hAnsi="David" w:cs="David"/>
          <w:color w:val="000000"/>
          <w:sz w:val="24"/>
          <w:szCs w:val="24"/>
          <w:rtl/>
        </w:rPr>
      </w:pPr>
      <w:r>
        <w:rPr>
          <w:rFonts w:ascii="David" w:hAnsi="David"/>
          <w:noProof/>
          <w:szCs w:val="24"/>
          <w:rtl/>
          <w:lang w:val="he-IL"/>
        </w:rPr>
        <mc:AlternateContent>
          <mc:Choice Requires="wps">
            <w:drawing>
              <wp:anchor distT="0" distB="0" distL="114300" distR="114300" simplePos="0" relativeHeight="251661312" behindDoc="0" locked="0" layoutInCell="1" allowOverlap="1" wp14:anchorId="35F4E764" wp14:editId="4B07C192">
                <wp:simplePos x="0" y="0"/>
                <wp:positionH relativeFrom="column">
                  <wp:posOffset>2090217</wp:posOffset>
                </wp:positionH>
                <wp:positionV relativeFrom="paragraph">
                  <wp:posOffset>98349</wp:posOffset>
                </wp:positionV>
                <wp:extent cx="1354347" cy="594851"/>
                <wp:effectExtent l="0" t="0" r="17780" b="15240"/>
                <wp:wrapNone/>
                <wp:docPr id="8" name="אליפסה 8"/>
                <wp:cNvGraphicFramePr/>
                <a:graphic xmlns:a="http://schemas.openxmlformats.org/drawingml/2006/main">
                  <a:graphicData uri="http://schemas.microsoft.com/office/word/2010/wordprocessingShape">
                    <wps:wsp>
                      <wps:cNvSpPr/>
                      <wps:spPr>
                        <a:xfrm>
                          <a:off x="0" y="0"/>
                          <a:ext cx="1354347" cy="594851"/>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EFF09" id="אליפסה 8" o:spid="_x0000_s1026" style="position:absolute;left:0;text-align:left;margin-left:164.6pt;margin-top:7.75pt;width:106.65pt;height:4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" filled="f" strokecolor="yellow" strokeweight="1pt">
                <v:stroke joinstyle="miter"/>
              </v:oval>
            </w:pict>
          </mc:Fallback>
        </mc:AlternateContent>
      </w:r>
      <w:r>
        <w:rPr>
          <w:rFonts w:ascii="David" w:hAnsi="David"/>
          <w:noProof/>
          <w:szCs w:val="24"/>
          <w:rtl/>
          <w:lang w:val="he-IL"/>
        </w:rPr>
        <mc:AlternateContent>
          <mc:Choice Requires="wps">
            <w:drawing>
              <wp:anchor distT="0" distB="0" distL="114300" distR="114300" simplePos="0" relativeHeight="251663360" behindDoc="0" locked="0" layoutInCell="1" allowOverlap="1" wp14:anchorId="4B13FA5C" wp14:editId="6999EB88">
                <wp:simplePos x="0" y="0"/>
                <wp:positionH relativeFrom="column">
                  <wp:posOffset>906792</wp:posOffset>
                </wp:positionH>
                <wp:positionV relativeFrom="paragraph">
                  <wp:posOffset>72177</wp:posOffset>
                </wp:positionV>
                <wp:extent cx="1334436" cy="781685"/>
                <wp:effectExtent l="142875" t="0" r="142240" b="0"/>
                <wp:wrapNone/>
                <wp:docPr id="9" name="אליפסה 9"/>
                <wp:cNvGraphicFramePr/>
                <a:graphic xmlns:a="http://schemas.openxmlformats.org/drawingml/2006/main">
                  <a:graphicData uri="http://schemas.microsoft.com/office/word/2010/wordprocessingShape">
                    <wps:wsp>
                      <wps:cNvSpPr/>
                      <wps:spPr>
                        <a:xfrm rot="18515117">
                          <a:off x="0" y="0"/>
                          <a:ext cx="1334436" cy="78168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AE78B" id="אליפסה 9" o:spid="_x0000_s1026" style="position:absolute;left:0;text-align:left;margin-left:71.4pt;margin-top:5.7pt;width:105.05pt;height:61.55pt;rotation:-336951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" filled="f" strokecolor="yellow" strokeweight="1pt">
                <v:stroke joinstyle="miter"/>
              </v:oval>
            </w:pict>
          </mc:Fallback>
        </mc:AlternateContent>
      </w:r>
    </w:p>
    <w:p w14:paraId="5DF17C26" w14:textId="4674E4F8" w:rsidR="00CA1D02" w:rsidRPr="00CA1D02" w:rsidRDefault="00CA1D02" w:rsidP="00521C62">
      <w:pPr>
        <w:tabs>
          <w:tab w:val="left" w:pos="702"/>
        </w:tabs>
        <w:spacing w:after="160" w:line="360" w:lineRule="auto"/>
        <w:ind w:left="792"/>
        <w:contextualSpacing/>
        <w:jc w:val="both"/>
        <w:rPr>
          <w:rFonts w:ascii="David" w:eastAsia="Calibri" w:hAnsi="David" w:cs="David"/>
          <w:color w:val="000000"/>
          <w:sz w:val="24"/>
          <w:szCs w:val="24"/>
        </w:rPr>
      </w:pPr>
    </w:p>
    <w:p w14:paraId="1A5DAABF" w14:textId="77777777" w:rsidR="00521C62" w:rsidRPr="00F96455" w:rsidRDefault="00521C62" w:rsidP="00521C62">
      <w:pPr>
        <w:spacing w:line="360" w:lineRule="auto"/>
        <w:ind w:left="1977"/>
        <w:contextualSpacing/>
        <w:jc w:val="both"/>
        <w:rPr>
          <w:rFonts w:ascii="David" w:eastAsia="Calibri" w:hAnsi="David" w:cs="David"/>
          <w:color w:val="000000"/>
          <w:sz w:val="24"/>
          <w:szCs w:val="24"/>
        </w:rPr>
      </w:pPr>
    </w:p>
    <w:p w14:paraId="091C887D" w14:textId="77777777" w:rsidR="00CA1D02" w:rsidRDefault="00CA1D02" w:rsidP="00521C62">
      <w:pPr>
        <w:jc w:val="center"/>
        <w:rPr>
          <w:rFonts w:ascii="David" w:hAnsi="David" w:cs="David"/>
          <w:sz w:val="24"/>
          <w:szCs w:val="24"/>
          <w:rtl/>
        </w:rPr>
      </w:pPr>
    </w:p>
    <w:p w14:paraId="5123EF79" w14:textId="77777777" w:rsidR="00CA1D02" w:rsidRDefault="00CA1D02" w:rsidP="00521C62">
      <w:pPr>
        <w:jc w:val="center"/>
        <w:rPr>
          <w:rFonts w:ascii="David" w:hAnsi="David" w:cs="David"/>
          <w:sz w:val="24"/>
          <w:szCs w:val="24"/>
          <w:rtl/>
        </w:rPr>
      </w:pPr>
    </w:p>
    <w:p w14:paraId="1C036D90" w14:textId="77777777" w:rsidR="00CA1D02" w:rsidRDefault="00CA1D02" w:rsidP="00521C62">
      <w:pPr>
        <w:jc w:val="center"/>
        <w:rPr>
          <w:rFonts w:ascii="David" w:hAnsi="David" w:cs="David"/>
          <w:sz w:val="24"/>
          <w:szCs w:val="24"/>
          <w:rtl/>
        </w:rPr>
      </w:pPr>
    </w:p>
    <w:p w14:paraId="66B432A8" w14:textId="77777777" w:rsidR="00CA1D02" w:rsidRDefault="00CA1D02" w:rsidP="00521C62">
      <w:pPr>
        <w:jc w:val="center"/>
        <w:rPr>
          <w:rFonts w:ascii="David" w:hAnsi="David" w:cs="David"/>
          <w:sz w:val="24"/>
          <w:szCs w:val="24"/>
          <w:rtl/>
        </w:rPr>
      </w:pPr>
    </w:p>
    <w:p w14:paraId="19361671" w14:textId="77777777" w:rsidR="00CA1D02" w:rsidRDefault="00CA1D02" w:rsidP="00521C62">
      <w:pPr>
        <w:jc w:val="center"/>
        <w:rPr>
          <w:rFonts w:ascii="David" w:hAnsi="David" w:cs="David"/>
          <w:sz w:val="24"/>
          <w:szCs w:val="24"/>
          <w:rtl/>
        </w:rPr>
      </w:pPr>
    </w:p>
    <w:p w14:paraId="01974AD6" w14:textId="17DB5E16" w:rsidR="00CA1D02" w:rsidRDefault="0018339C" w:rsidP="0018339C">
      <w:pPr>
        <w:jc w:val="both"/>
        <w:rPr>
          <w:rFonts w:ascii="David" w:hAnsi="David" w:cs="David"/>
          <w:sz w:val="24"/>
          <w:szCs w:val="24"/>
          <w:rtl/>
        </w:rPr>
      </w:pPr>
      <w:r w:rsidRPr="00B519A3">
        <w:rPr>
          <w:rFonts w:ascii="David" w:hAnsi="David" w:cs="David" w:hint="cs"/>
          <w:b/>
          <w:bCs/>
          <w:sz w:val="24"/>
          <w:szCs w:val="24"/>
          <w:rtl/>
        </w:rPr>
        <w:t>תשובה</w:t>
      </w:r>
      <w:r>
        <w:rPr>
          <w:rFonts w:ascii="David" w:hAnsi="David" w:cs="David" w:hint="cs"/>
          <w:sz w:val="24"/>
          <w:szCs w:val="24"/>
          <w:rtl/>
        </w:rPr>
        <w:t>:</w:t>
      </w:r>
    </w:p>
    <w:p w14:paraId="55B52B9C" w14:textId="6B91E7C0" w:rsidR="0018339C" w:rsidRDefault="0018339C" w:rsidP="0018339C">
      <w:pPr>
        <w:jc w:val="both"/>
        <w:rPr>
          <w:rFonts w:ascii="David" w:hAnsi="David" w:cs="David"/>
          <w:sz w:val="24"/>
          <w:szCs w:val="24"/>
          <w:rtl/>
        </w:rPr>
      </w:pPr>
      <w:r>
        <w:rPr>
          <w:rFonts w:ascii="David" w:hAnsi="David" w:cs="David" w:hint="cs"/>
          <w:sz w:val="24"/>
          <w:szCs w:val="24"/>
          <w:rtl/>
        </w:rPr>
        <w:t>מצ"ב למסמך הבהרות זה הסכם בין עיריית בת ים לעיריית ראשון לציון ואשר עניינו השטח נושא שאלתכם. המצב המשפטי הוא כמתואר בהסכם ולא תישמע כל טענה בקשר עם כך. באחריות המציעים לקרוא את ההסכם בעיון ולהגיש הצעתם כאשר הם מודעים ומבינים את האמור בו.</w:t>
      </w:r>
    </w:p>
    <w:p w14:paraId="166C1BFC" w14:textId="5BFA781C" w:rsidR="00521C62" w:rsidRDefault="00521C62" w:rsidP="00B519A3">
      <w:pPr>
        <w:spacing w:line="240" w:lineRule="auto"/>
        <w:jc w:val="center"/>
        <w:rPr>
          <w:rFonts w:ascii="David" w:hAnsi="David" w:cs="David"/>
          <w:sz w:val="24"/>
          <w:szCs w:val="24"/>
          <w:rtl/>
        </w:rPr>
      </w:pPr>
      <w:r>
        <w:rPr>
          <w:rFonts w:ascii="David" w:hAnsi="David" w:cs="David" w:hint="cs"/>
          <w:sz w:val="24"/>
          <w:szCs w:val="24"/>
          <w:rtl/>
        </w:rPr>
        <w:t>בברכה,</w:t>
      </w:r>
    </w:p>
    <w:p w14:paraId="4C7A47AC" w14:textId="77777777" w:rsidR="00521C62" w:rsidRPr="001A31D2" w:rsidRDefault="00521C62" w:rsidP="00B519A3">
      <w:pPr>
        <w:spacing w:after="0" w:line="240" w:lineRule="auto"/>
        <w:jc w:val="center"/>
        <w:rPr>
          <w:rFonts w:ascii="David" w:hAnsi="David" w:cs="David"/>
          <w:sz w:val="24"/>
          <w:szCs w:val="24"/>
          <w:rtl/>
        </w:rPr>
      </w:pPr>
      <w:r>
        <w:rPr>
          <w:rFonts w:ascii="David" w:hAnsi="David" w:cs="David" w:hint="cs"/>
          <w:sz w:val="24"/>
          <w:szCs w:val="24"/>
          <w:rtl/>
        </w:rPr>
        <w:t>חוף בת-ים ליזמות ופיתוח בע"מ</w:t>
      </w:r>
    </w:p>
    <w:p w14:paraId="0A1C6303" w14:textId="77777777" w:rsidR="00521C62" w:rsidRPr="00A40F80" w:rsidRDefault="00521C62" w:rsidP="00B519A3">
      <w:pPr>
        <w:keepNext/>
        <w:spacing w:after="0" w:line="240" w:lineRule="auto"/>
        <w:jc w:val="right"/>
        <w:rPr>
          <w:rFonts w:ascii="David" w:eastAsia="Times New Roman" w:hAnsi="David" w:cs="David"/>
          <w:sz w:val="24"/>
          <w:szCs w:val="24"/>
        </w:rPr>
      </w:pPr>
      <w:r w:rsidRPr="00A40F80">
        <w:rPr>
          <w:rFonts w:ascii="David" w:eastAsia="Times New Roman" w:hAnsi="David" w:cs="David"/>
          <w:sz w:val="24"/>
          <w:szCs w:val="24"/>
          <w:rtl/>
        </w:rPr>
        <w:t xml:space="preserve">                                                                                                               </w:t>
      </w:r>
      <w:r w:rsidRPr="00A40F80">
        <w:rPr>
          <w:rFonts w:ascii="David" w:eastAsia="Times New Roman" w:hAnsi="David" w:cs="David"/>
          <w:sz w:val="24"/>
          <w:szCs w:val="24"/>
          <w:rtl/>
        </w:rPr>
        <w:tab/>
      </w:r>
      <w:r w:rsidRPr="00A40F80">
        <w:rPr>
          <w:rFonts w:ascii="David" w:eastAsia="Times New Roman" w:hAnsi="David" w:cs="David"/>
          <w:sz w:val="24"/>
          <w:szCs w:val="24"/>
          <w:rtl/>
        </w:rPr>
        <w:tab/>
      </w:r>
    </w:p>
    <w:p w14:paraId="2F1D65B7" w14:textId="3B624D74" w:rsidR="00AD7C92" w:rsidRPr="00521C62" w:rsidRDefault="00521C62" w:rsidP="00B519A3">
      <w:pPr>
        <w:spacing w:line="240" w:lineRule="auto"/>
        <w:jc w:val="both"/>
        <w:rPr>
          <w:rFonts w:ascii="David" w:hAnsi="David" w:cs="David"/>
          <w:b/>
          <w:bCs/>
          <w:sz w:val="28"/>
          <w:szCs w:val="28"/>
        </w:rPr>
      </w:pPr>
      <w:r w:rsidRPr="00E87A56">
        <w:rPr>
          <w:rFonts w:ascii="David" w:hAnsi="David" w:cs="David" w:hint="cs"/>
          <w:b/>
          <w:bCs/>
          <w:sz w:val="28"/>
          <w:szCs w:val="28"/>
          <w:rtl/>
        </w:rPr>
        <w:t>על המשתתף לצרף להצעתו מסמך זה חתום על ידו בחתימה ובחותמת.</w:t>
      </w:r>
    </w:p>
    <w:sectPr w:rsidR="00AD7C92" w:rsidRPr="00521C62" w:rsidSect="00CF55C5">
      <w:headerReference w:type="even" r:id="rId8"/>
      <w:headerReference w:type="default" r:id="rId9"/>
      <w:footerReference w:type="even" r:id="rId10"/>
      <w:footerReference w:type="default" r:id="rId11"/>
      <w:headerReference w:type="first" r:id="rId12"/>
      <w:footerReference w:type="first" r:id="rId13"/>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0726" w14:textId="77777777" w:rsidR="008E1CFD" w:rsidRDefault="008E1CFD">
      <w:pPr>
        <w:spacing w:after="0" w:line="240" w:lineRule="auto"/>
      </w:pPr>
      <w:r>
        <w:separator/>
      </w:r>
    </w:p>
  </w:endnote>
  <w:endnote w:type="continuationSeparator" w:id="0">
    <w:p w14:paraId="039557E6" w14:textId="77777777" w:rsidR="008E1CFD" w:rsidRDefault="008E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429C" w14:textId="77777777" w:rsidR="00B01F60" w:rsidRDefault="008E1CF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2DE1" w14:textId="77777777" w:rsidR="00E303A0" w:rsidRDefault="0018339C" w:rsidP="00E303A0">
    <w:pPr>
      <w:tabs>
        <w:tab w:val="left" w:pos="1856"/>
      </w:tabs>
      <w:spacing w:after="0"/>
      <w:rPr>
        <w:rtl/>
      </w:rPr>
    </w:pPr>
    <w:r>
      <w:rPr>
        <w:rtl/>
      </w:rPr>
      <w:t>___________________________________________________________________</w:t>
    </w:r>
  </w:p>
  <w:p w14:paraId="7D64DBBD" w14:textId="77777777" w:rsidR="00E303A0" w:rsidRPr="00E303A0" w:rsidRDefault="0018339C"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CA76" w14:textId="77777777" w:rsidR="00B01F60" w:rsidRDefault="008E1C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5C713" w14:textId="77777777" w:rsidR="008E1CFD" w:rsidRDefault="008E1CFD">
      <w:pPr>
        <w:spacing w:after="0" w:line="240" w:lineRule="auto"/>
      </w:pPr>
      <w:r>
        <w:separator/>
      </w:r>
    </w:p>
  </w:footnote>
  <w:footnote w:type="continuationSeparator" w:id="0">
    <w:p w14:paraId="3395ADF3" w14:textId="77777777" w:rsidR="008E1CFD" w:rsidRDefault="008E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2E2E" w14:textId="77777777" w:rsidR="00B01F60" w:rsidRDefault="008E1C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B03E" w14:textId="77777777" w:rsidR="00E303A0" w:rsidRDefault="0018339C" w:rsidP="003D33AF">
    <w:pPr>
      <w:pStyle w:val="a3"/>
      <w:rPr>
        <w:rtl/>
      </w:rPr>
    </w:pPr>
    <w:r>
      <w:rPr>
        <w:rtl/>
      </w:rPr>
      <w:tab/>
    </w:r>
    <w:r>
      <w:rPr>
        <w:noProof/>
      </w:rPr>
      <w:drawing>
        <wp:inline distT="0" distB="0" distL="0" distR="0" wp14:anchorId="061D921F" wp14:editId="377B58C6">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18B9" w14:textId="77777777" w:rsidR="00B01F60" w:rsidRDefault="008E1C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2EF3"/>
    <w:multiLevelType w:val="hybridMultilevel"/>
    <w:tmpl w:val="13062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7C507D"/>
    <w:multiLevelType w:val="hybridMultilevel"/>
    <w:tmpl w:val="862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62"/>
    <w:rsid w:val="0018339C"/>
    <w:rsid w:val="004616F6"/>
    <w:rsid w:val="00521C62"/>
    <w:rsid w:val="008E1CFD"/>
    <w:rsid w:val="00AD7C92"/>
    <w:rsid w:val="00B519A3"/>
    <w:rsid w:val="00BF7690"/>
    <w:rsid w:val="00CA1D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82D"/>
  <w15:chartTrackingRefBased/>
  <w15:docId w15:val="{B4CFDF58-DAC9-4E82-94E1-0EFA4F88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C62"/>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C62"/>
    <w:pPr>
      <w:tabs>
        <w:tab w:val="center" w:pos="4153"/>
        <w:tab w:val="right" w:pos="8306"/>
      </w:tabs>
      <w:spacing w:after="0" w:line="240" w:lineRule="auto"/>
    </w:pPr>
  </w:style>
  <w:style w:type="character" w:customStyle="1" w:styleId="a4">
    <w:name w:val="כותרת עליונה תו"/>
    <w:basedOn w:val="a0"/>
    <w:link w:val="a3"/>
    <w:uiPriority w:val="99"/>
    <w:rsid w:val="00521C62"/>
    <w:rPr>
      <w:rFonts w:eastAsiaTheme="minorEastAsia"/>
    </w:rPr>
  </w:style>
  <w:style w:type="paragraph" w:styleId="a5">
    <w:name w:val="List Paragraph"/>
    <w:basedOn w:val="a"/>
    <w:uiPriority w:val="34"/>
    <w:qFormat/>
    <w:rsid w:val="00521C62"/>
    <w:pPr>
      <w:ind w:left="720"/>
      <w:contextualSpacing/>
    </w:pPr>
  </w:style>
  <w:style w:type="paragraph" w:styleId="a6">
    <w:name w:val="footer"/>
    <w:basedOn w:val="a"/>
    <w:link w:val="a7"/>
    <w:uiPriority w:val="99"/>
    <w:unhideWhenUsed/>
    <w:rsid w:val="00521C62"/>
    <w:pPr>
      <w:tabs>
        <w:tab w:val="center" w:pos="4153"/>
        <w:tab w:val="right" w:pos="8306"/>
      </w:tabs>
      <w:spacing w:after="0" w:line="240" w:lineRule="auto"/>
    </w:pPr>
  </w:style>
  <w:style w:type="character" w:customStyle="1" w:styleId="a7">
    <w:name w:val="כותרת תחתונה תו"/>
    <w:basedOn w:val="a0"/>
    <w:link w:val="a6"/>
    <w:uiPriority w:val="99"/>
    <w:rsid w:val="00521C62"/>
    <w:rPr>
      <w:rFonts w:eastAsiaTheme="minorEastAsia"/>
    </w:rPr>
  </w:style>
  <w:style w:type="table" w:styleId="a8">
    <w:name w:val="Table Grid"/>
    <w:basedOn w:val="a1"/>
    <w:uiPriority w:val="59"/>
    <w:rsid w:val="0052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662</Words>
  <Characters>3312</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2021-08-17T12:45:00Z</dcterms:created>
  <dcterms:modified xsi:type="dcterms:W3CDTF">2021-08-18T11:34:00Z</dcterms:modified>
</cp:coreProperties>
</file>