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9C2A18" w:rsidRDefault="009C2A18" w:rsidP="003165DE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3165DE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7</w:t>
      </w:r>
      <w:r w:rsidR="003165DE">
        <w:rPr>
          <w:rFonts w:cs="David"/>
          <w:b w:val="0"/>
          <w:bCs w:val="0"/>
          <w:sz w:val="25"/>
          <w:szCs w:val="25"/>
          <w:u w:val="none"/>
          <w:rtl/>
        </w:rPr>
        <w:t xml:space="preserve"> דצמבר, 2022</w:t>
      </w:r>
      <w:r w:rsidR="009051B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04483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4483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59"/>
        <w:bidiVisual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8800"/>
      </w:tblGrid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מנהלת המחלקה לתכנון אסטרטגי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דירוגי בכפוף לאישור משרד הפנים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משרה מלאה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 חיצוני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800" w:type="dxa"/>
          </w:tcPr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וליווי ביצוע בתהליכי קבלת ההחלטות הקשורים בתחבורה הציבורית ברשות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וקידום פרויקטי פיתוח תשתיות התח"צ ברשות, תחזוקת תשתיות תח"צ וניהול הקשר עם כלל הגורמים הרלוונטיים.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והפניית פניות ציבור, ניהול מידע ופיתוח שירות התח"צ ברשות, בנייה וקידום של תוכנית תח"צ לרשות, גיבוש בקשות לשיפור השירות וקיום קשר שוטף מול מנהל/ת תחום התח"צ המחוזי ומפעילי התח"צ.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הטמעת תרבות השימוש בתח"צ ברשות, תוך קיום פעילות הסברה והגברת המודעות הקהילתית לתח"צ, פרסום השירות בקרב הציבור, איסוף צרכי התושבים וליווי הגורמים מטעם משרד התחבורה בביצוע סקרים ופעילויות קהילה.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בפגישות העוסקות בתח"צ מטעם הרשות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בפורומים מקצועיים בתחומים הרלוונטיים לתחבורה ציבורית.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ind w:left="329" w:hanging="329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7D82">
              <w:rPr>
                <w:rFonts w:ascii="David" w:hAnsi="David" w:cs="David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44834" w:rsidRPr="000A45CD" w:rsidRDefault="00044834" w:rsidP="00044834">
            <w:pPr>
              <w:spacing w:after="0" w:line="240" w:lineRule="auto"/>
              <w:ind w:left="468"/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</w:pP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 xml:space="preserve">בעל תואר אקדמי, שנרכש במוסד המוכר על ידי  המועצה להשכלה גבוהה או שקיבל הכרה מהמחלקה להערכת תארים אקדמיים בחוץ לארץ באחד או יותר מהתחומים הבאים: הנדסה אזרחית, הנדסת בניין, הנדסת תעשייה וניהול, גיאוגרפיה, תכנון ערים, אדריכלות או </w:t>
            </w:r>
            <w:r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מדעי החברה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4D7D82">
              <w:rPr>
                <w:rFonts w:ascii="David" w:hAnsi="David" w:cs="David" w:hint="cs"/>
                <w:b/>
                <w:bCs/>
                <w:noProof/>
                <w:sz w:val="25"/>
                <w:szCs w:val="25"/>
                <w:rtl/>
                <w:lang w:eastAsia="he-IL"/>
              </w:rPr>
              <w:t>או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הנדסאי רשום בהתאם לסעיף 39 לחוק ההנדסאים והטכנאים המוסמכים, התשע"ג באחד או יותר מהתחומים הבאים: הנדסה אזרחית, הנדסת בניין, תעשייה וניהול, או אדריכלות.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44834" w:rsidRDefault="00044834" w:rsidP="00044834">
            <w:pPr>
              <w:pStyle w:val="a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בעל תואר אקדמי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 ניסיון באחד או יותר מהתחומים הבאים: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widowControl w:val="0"/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הנדסאי רשום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שנתיים ניסיון באחד או יותר מהתחומים הבאים: 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העברית על בוריה (ידיעת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יתרון)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ניסוח גבוהה בעל פה ובכתב</w:t>
            </w:r>
            <w:r w:rsidRPr="004C12D7">
              <w:rPr>
                <w:rFonts w:asciiTheme="minorBidi" w:hAnsiTheme="minorBidi" w:cs="David"/>
                <w:sz w:val="25"/>
                <w:szCs w:val="25"/>
              </w:rPr>
              <w:t xml:space="preserve">  </w:t>
            </w: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ה </w:t>
            </w:r>
            <w:r w:rsidRPr="004C12D7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800" w:type="dxa"/>
          </w:tcPr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ארגונית וניהולית</w:t>
            </w:r>
          </w:p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יוזמה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800" w:type="dxa"/>
          </w:tcPr>
          <w:p w:rsidR="00044834" w:rsidRPr="004C12D7" w:rsidRDefault="001D663C" w:rsidP="0004483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מנהלת המחלקה לתכנון אסטרטגי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 xml:space="preserve"> הנדסה</w:t>
            </w:r>
          </w:p>
        </w:tc>
      </w:tr>
    </w:tbl>
    <w:p w:rsidR="0018699B" w:rsidRDefault="00225824" w:rsidP="0004483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מנהלת המחלקה </w:t>
      </w:r>
      <w:r w:rsidR="00044834">
        <w:rPr>
          <w:rFonts w:cs="David" w:hint="cs"/>
          <w:b/>
          <w:bCs/>
          <w:sz w:val="34"/>
          <w:szCs w:val="34"/>
          <w:rtl/>
        </w:rPr>
        <w:t xml:space="preserve">לתכנון אסטרטגי </w:t>
      </w:r>
      <w:proofErr w:type="spellStart"/>
      <w:r w:rsidR="00044834">
        <w:rPr>
          <w:rFonts w:cs="David" w:hint="cs"/>
          <w:b/>
          <w:bCs/>
          <w:sz w:val="34"/>
          <w:szCs w:val="34"/>
          <w:rtl/>
        </w:rPr>
        <w:t>במינהל</w:t>
      </w:r>
      <w:proofErr w:type="spellEnd"/>
      <w:r w:rsidR="00044834">
        <w:rPr>
          <w:rFonts w:cs="David" w:hint="cs"/>
          <w:b/>
          <w:bCs/>
          <w:sz w:val="34"/>
          <w:szCs w:val="34"/>
          <w:rtl/>
        </w:rPr>
        <w:t xml:space="preserve"> הנדסה</w:t>
      </w:r>
    </w:p>
    <w:p w:rsidR="00CA5989" w:rsidRPr="00225824" w:rsidRDefault="00CA5989" w:rsidP="00216A63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A932F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A932F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A5515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55151">
        <w:rPr>
          <w:rFonts w:hint="cs"/>
          <w:b/>
          <w:bCs/>
          <w:sz w:val="24"/>
          <w:szCs w:val="24"/>
          <w:u w:val="single"/>
          <w:rtl/>
        </w:rPr>
        <w:t>13.2</w:t>
      </w:r>
      <w:bookmarkStart w:id="0" w:name="_GoBack"/>
      <w:bookmarkEnd w:id="0"/>
      <w:r w:rsidR="002425EA">
        <w:rPr>
          <w:rFonts w:hint="cs"/>
          <w:b/>
          <w:bCs/>
          <w:sz w:val="24"/>
          <w:szCs w:val="24"/>
          <w:u w:val="single"/>
          <w:rtl/>
        </w:rPr>
        <w:t xml:space="preserve">.23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225824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B215075"/>
    <w:multiLevelType w:val="hybridMultilevel"/>
    <w:tmpl w:val="879A7F90"/>
    <w:lvl w:ilvl="0" w:tplc="C3F04940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24EF3"/>
    <w:multiLevelType w:val="hybridMultilevel"/>
    <w:tmpl w:val="AB044AF8"/>
    <w:lvl w:ilvl="0" w:tplc="CC9AE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3021"/>
    <w:multiLevelType w:val="hybridMultilevel"/>
    <w:tmpl w:val="3D600344"/>
    <w:lvl w:ilvl="0" w:tplc="345E7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67639E9"/>
    <w:multiLevelType w:val="hybridMultilevel"/>
    <w:tmpl w:val="6CEA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8"/>
  </w:num>
  <w:num w:numId="5">
    <w:abstractNumId w:val="26"/>
  </w:num>
  <w:num w:numId="6">
    <w:abstractNumId w:val="22"/>
  </w:num>
  <w:num w:numId="7">
    <w:abstractNumId w:val="24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5"/>
  </w:num>
  <w:num w:numId="13">
    <w:abstractNumId w:val="32"/>
  </w:num>
  <w:num w:numId="14">
    <w:abstractNumId w:val="19"/>
  </w:num>
  <w:num w:numId="15">
    <w:abstractNumId w:val="17"/>
  </w:num>
  <w:num w:numId="16">
    <w:abstractNumId w:val="5"/>
  </w:num>
  <w:num w:numId="17">
    <w:abstractNumId w:val="29"/>
  </w:num>
  <w:num w:numId="18">
    <w:abstractNumId w:val="15"/>
  </w:num>
  <w:num w:numId="19">
    <w:abstractNumId w:val="31"/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23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7"/>
  </w:num>
  <w:num w:numId="30">
    <w:abstractNumId w:val="14"/>
  </w:num>
  <w:num w:numId="31">
    <w:abstractNumId w:val="21"/>
  </w:num>
  <w:num w:numId="32">
    <w:abstractNumId w:val="12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44834"/>
    <w:rsid w:val="000670D9"/>
    <w:rsid w:val="000702C2"/>
    <w:rsid w:val="000719AD"/>
    <w:rsid w:val="00076C77"/>
    <w:rsid w:val="00082425"/>
    <w:rsid w:val="000836F1"/>
    <w:rsid w:val="000C4BB9"/>
    <w:rsid w:val="000D205F"/>
    <w:rsid w:val="000E30C7"/>
    <w:rsid w:val="000F2030"/>
    <w:rsid w:val="000F48DB"/>
    <w:rsid w:val="0010345F"/>
    <w:rsid w:val="001319E3"/>
    <w:rsid w:val="0015248A"/>
    <w:rsid w:val="001632E5"/>
    <w:rsid w:val="0018699B"/>
    <w:rsid w:val="00190062"/>
    <w:rsid w:val="00196819"/>
    <w:rsid w:val="001B4FC9"/>
    <w:rsid w:val="001C3938"/>
    <w:rsid w:val="001D4E3A"/>
    <w:rsid w:val="001D663C"/>
    <w:rsid w:val="001F7EAA"/>
    <w:rsid w:val="00202E3F"/>
    <w:rsid w:val="00203127"/>
    <w:rsid w:val="002118CB"/>
    <w:rsid w:val="00216A63"/>
    <w:rsid w:val="0022577A"/>
    <w:rsid w:val="00225824"/>
    <w:rsid w:val="00227483"/>
    <w:rsid w:val="00236980"/>
    <w:rsid w:val="002425EA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5DE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927F1"/>
    <w:rsid w:val="004B0554"/>
    <w:rsid w:val="004B4D22"/>
    <w:rsid w:val="004B6746"/>
    <w:rsid w:val="004D44A9"/>
    <w:rsid w:val="004D6DDA"/>
    <w:rsid w:val="005077BF"/>
    <w:rsid w:val="005421F6"/>
    <w:rsid w:val="00542202"/>
    <w:rsid w:val="00554DBC"/>
    <w:rsid w:val="0056603B"/>
    <w:rsid w:val="005937A1"/>
    <w:rsid w:val="00595CDD"/>
    <w:rsid w:val="005C2313"/>
    <w:rsid w:val="005F29BD"/>
    <w:rsid w:val="00603160"/>
    <w:rsid w:val="006165E7"/>
    <w:rsid w:val="00636EF8"/>
    <w:rsid w:val="00646F53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051B2"/>
    <w:rsid w:val="009146CE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55151"/>
    <w:rsid w:val="00A80E0E"/>
    <w:rsid w:val="00A924FD"/>
    <w:rsid w:val="00A932F1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882"/>
    <w:rsid w:val="00DB692D"/>
    <w:rsid w:val="00DC34DB"/>
    <w:rsid w:val="00DD0167"/>
    <w:rsid w:val="00DF7140"/>
    <w:rsid w:val="00E22A70"/>
    <w:rsid w:val="00EA3FCE"/>
    <w:rsid w:val="00EA5BF2"/>
    <w:rsid w:val="00EC6849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79F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0&amp;file=&amp;tenderdisplay=2022-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49F8-A75A-4963-AA46-79CFA851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2023-01-26T09:48:00Z</cp:lastPrinted>
  <dcterms:created xsi:type="dcterms:W3CDTF">2022-12-05T13:47:00Z</dcterms:created>
  <dcterms:modified xsi:type="dcterms:W3CDTF">2023-01-26T09:48:00Z</dcterms:modified>
</cp:coreProperties>
</file>