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37DFA34D" w:rsidR="00BA5249" w:rsidRDefault="00BA5249" w:rsidP="008A3CBA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8A3CBA">
        <w:rPr>
          <w:rFonts w:hint="cs"/>
          <w:szCs w:val="25"/>
          <w:rtl/>
        </w:rPr>
        <w:t>29</w:t>
      </w:r>
      <w:r w:rsidR="001C7D70">
        <w:rPr>
          <w:rFonts w:hint="cs"/>
          <w:szCs w:val="25"/>
          <w:rtl/>
        </w:rPr>
        <w:t xml:space="preserve"> דצמבר</w:t>
      </w:r>
      <w:r w:rsidR="00771EAB">
        <w:rPr>
          <w:szCs w:val="25"/>
          <w:rtl/>
        </w:rPr>
        <w:t>, 2022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2B12FC42" w:rsidR="00A81552" w:rsidRPr="00A81552" w:rsidRDefault="00A81552" w:rsidP="00771EA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BC3299">
        <w:rPr>
          <w:rFonts w:hint="cs"/>
          <w:b/>
          <w:bCs/>
          <w:szCs w:val="25"/>
          <w:rtl/>
          <w:lang w:eastAsia="en-US"/>
        </w:rPr>
        <w:t>מלאה</w:t>
      </w:r>
      <w:r w:rsidR="00D77FFD">
        <w:rPr>
          <w:rFonts w:hint="cs"/>
          <w:szCs w:val="25"/>
          <w:rtl/>
        </w:rPr>
        <w:t xml:space="preserve"> </w:t>
      </w:r>
      <w:r w:rsidR="00D40AAF">
        <w:rPr>
          <w:rFonts w:hint="cs"/>
          <w:szCs w:val="25"/>
          <w:rtl/>
        </w:rPr>
        <w:t>/ חלקית (2 משרות)</w:t>
      </w:r>
    </w:p>
    <w:p w14:paraId="12F6D3C1" w14:textId="61F0C21A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D12801">
        <w:rPr>
          <w:rFonts w:ascii="Brush Script MT" w:hAnsi="Brush Script MT" w:hint="cs"/>
          <w:szCs w:val="25"/>
          <w:rtl/>
        </w:rPr>
        <w:t>ע"פ ההסכם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71E37DC7" w14:textId="77777777" w:rsidR="00B33DED" w:rsidRPr="00D01D54" w:rsidRDefault="00B33DED" w:rsidP="00B33DED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E435DC">
          <w:rPr>
            <w:rStyle w:val="Hyperlink"/>
            <w:b/>
            <w:bCs/>
            <w:sz w:val="28"/>
            <w:szCs w:val="28"/>
          </w:rPr>
          <w:t>sarit@bat-yam.muni.il</w:t>
        </w:r>
      </w:hyperlink>
      <w:r>
        <w:rPr>
          <w:rFonts w:ascii="David" w:hAnsi="David" w:hint="cs"/>
          <w:sz w:val="28"/>
          <w:szCs w:val="28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או </w:t>
      </w:r>
      <w:hyperlink r:id="rId8" w:history="1">
        <w:r w:rsidRPr="00A07F50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>
        <w:rPr>
          <w:rFonts w:hint="cs"/>
          <w:b/>
          <w:bCs/>
          <w:szCs w:val="25"/>
          <w:u w:val="single"/>
          <w:rtl/>
        </w:rPr>
        <w:t xml:space="preserve">26.1.23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6DED801F" w14:textId="77777777" w:rsidR="007D2AB6" w:rsidRDefault="007D2AB6" w:rsidP="00A81552">
      <w:pPr>
        <w:rPr>
          <w:szCs w:val="25"/>
          <w:rtl/>
        </w:rPr>
      </w:pPr>
      <w:bookmarkStart w:id="0" w:name="_GoBack"/>
      <w:bookmarkEnd w:id="0"/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9"/>
      <w:footerReference w:type="even" r:id="rId10"/>
      <w:footerReference w:type="default" r:id="rId11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91D18"/>
    <w:rsid w:val="00597F85"/>
    <w:rsid w:val="005C06A7"/>
    <w:rsid w:val="005C5280"/>
    <w:rsid w:val="005E2B94"/>
    <w:rsid w:val="005E731B"/>
    <w:rsid w:val="0060274C"/>
    <w:rsid w:val="006042DD"/>
    <w:rsid w:val="00616EBD"/>
    <w:rsid w:val="00634168"/>
    <w:rsid w:val="00655EC4"/>
    <w:rsid w:val="006604CC"/>
    <w:rsid w:val="00664BAF"/>
    <w:rsid w:val="006B1F59"/>
    <w:rsid w:val="006B4BDC"/>
    <w:rsid w:val="006E5314"/>
    <w:rsid w:val="006F2A04"/>
    <w:rsid w:val="006F3497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A26C19"/>
    <w:rsid w:val="00A34326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alh@bat-yam.muni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it@bat-yam.muni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1508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6</cp:revision>
  <cp:lastPrinted>2023-01-15T10:09:00Z</cp:lastPrinted>
  <dcterms:created xsi:type="dcterms:W3CDTF">2022-11-30T11:57:00Z</dcterms:created>
  <dcterms:modified xsi:type="dcterms:W3CDTF">2023-01-15T10:09:00Z</dcterms:modified>
</cp:coreProperties>
</file>