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82" w:rsidRDefault="00BC6464" w:rsidP="008B7F5D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</w:t>
      </w:r>
    </w:p>
    <w:p w:rsidR="003A242C" w:rsidRPr="008344AD" w:rsidRDefault="003A242C" w:rsidP="003A242C">
      <w:pPr>
        <w:rPr>
          <w:rFonts w:ascii="David" w:hAnsi="David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9</w:t>
      </w:r>
      <w:r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1319E3" w:rsidRPr="00E37319" w:rsidRDefault="00D673F8" w:rsidP="008B7F5D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C155B8" w:rsidRPr="00D673F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E005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61DF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61DF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61DF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69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r>
              <w:rPr>
                <w:rFonts w:ascii="David" w:hAnsi="David" w:cs="David" w:hint="cs"/>
                <w:rtl/>
              </w:rPr>
              <w:t>תכנון (תכניות בניין עיר)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635182" w:rsidRPr="009C5806" w:rsidTr="00F16E03">
        <w:trPr>
          <w:trHeight w:val="4582"/>
        </w:trPr>
        <w:tc>
          <w:tcPr>
            <w:tcW w:w="1697" w:type="dxa"/>
            <w:tcBorders>
              <w:bottom w:val="single" w:sz="4" w:space="0" w:color="auto"/>
            </w:tcBorders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F16E03" w:rsidRDefault="00F16E03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>
              <w:rPr>
                <w:rFonts w:ascii="David" w:hAnsi="David" w:cs="David" w:hint="cs"/>
                <w:sz w:val="23"/>
                <w:szCs w:val="23"/>
                <w:rtl/>
              </w:rPr>
              <w:t>אחראי על הובלת תחום התכנון העירוני ברשות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אחראי על ביצוע בדיקה תכנונית של תכניות המוגשות לוועדה המקומית, עבודה מול מתכננים והנחייתם.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אחראי על ליווי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תב"עות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יזומות ע"י הוועדה המקומית, פרטיים,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תצ"רים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, תכניות בינוי ופיתוח אדריכלי ועוד.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טיפול שוטף בהליך הסטטוטורי של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בניין עיר,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לצרכי רישום,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איחוד חלוקה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וכו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'.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ייצוג הוועדה המקומית בפני מוסדות לרבות וועדה מחוזית, מועצה ארצית ועוד.</w:t>
            </w:r>
          </w:p>
          <w:p w:rsidR="00635182" w:rsidRPr="00635182" w:rsidRDefault="00F16E03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>
              <w:rPr>
                <w:rFonts w:ascii="David" w:hAnsi="David" w:cs="David" w:hint="cs"/>
                <w:sz w:val="23"/>
                <w:szCs w:val="23"/>
                <w:rtl/>
              </w:rPr>
              <w:t xml:space="preserve">ניהול, </w:t>
            </w:r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הכנת חומר, מצגות, </w:t>
            </w:r>
            <w:proofErr w:type="spellStart"/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>חוו"ד</w:t>
            </w:r>
            <w:proofErr w:type="spellEnd"/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לתכניות בניין עיר לקראת דיוני הוועדה המקומית והמחוזית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קידום וכתיבת מסמכי מדיניות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רשותיים</w:t>
            </w:r>
            <w:proofErr w:type="spellEnd"/>
            <w:r w:rsidR="00F16E03">
              <w:rPr>
                <w:rFonts w:ascii="David" w:hAnsi="David" w:cs="David" w:hint="cs"/>
                <w:sz w:val="23"/>
                <w:szCs w:val="23"/>
                <w:rtl/>
              </w:rPr>
              <w:t xml:space="preserve"> בנושאי תכנון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, בתיאום עם הוועדה המקומית.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תיאום הליכי הפקעות ורישום נכסי ציבור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אחראי על </w:t>
            </w:r>
            <w:r w:rsidR="00F16E03">
              <w:rPr>
                <w:rFonts w:ascii="David" w:hAnsi="David" w:cs="David" w:hint="cs"/>
                <w:sz w:val="23"/>
                <w:szCs w:val="23"/>
                <w:rtl/>
              </w:rPr>
              <w:t>ניהול ה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עדכון שוטף של מערכת ה </w:t>
            </w:r>
            <w:r w:rsidRPr="00635182">
              <w:rPr>
                <w:rFonts w:ascii="David" w:hAnsi="David" w:cs="David" w:hint="cs"/>
                <w:sz w:val="23"/>
                <w:szCs w:val="23"/>
              </w:rPr>
              <w:t>GIS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בעדכוניים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הרלוונטים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למחלקת התכנון.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טיפול בתיקוני גבולות השיפוט ומרחב התכנון.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הפקת דו"חות חודשיים ותקופתיים ניהוליים, ניתוח ועיבוד דוחות והצגה לגורמים הרלוונטיים.</w:t>
            </w:r>
          </w:p>
          <w:p w:rsidR="00635182" w:rsidRPr="00635182" w:rsidRDefault="00635182" w:rsidP="00F16E03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ניהול עובדי היחידה הכולל הנחייה, הכוונה והדרכה מקצועית של העובדים והמנהלים, ביצוע משוב והערכה תקופתיים ודאגה לנוכחות ורווחת העובד.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חלוקת משימות, הנחיה ופיקוח על ביצוען על ידי כלל עובדי היחידה/קבלנים חיצוניים.</w:t>
            </w:r>
          </w:p>
          <w:p w:rsidR="00635182" w:rsidRPr="009C5806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תיאום גורמי פנים וחוץ תוך דגש על יצירת ממשקי עבודה עם משרד הפנים, משרד האוצר, המשרד לבינוי ושיכון מרכז לשלטון מקומי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וכו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', לרבות כלל הדיווחים הנדרשים בהתאם להוראות הדין ולהנחיות הרשויות המוסמכות.</w:t>
            </w:r>
          </w:p>
        </w:tc>
      </w:tr>
      <w:tr w:rsidR="00635182" w:rsidRPr="009C5806" w:rsidTr="00635182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635182" w:rsidRDefault="00635182" w:rsidP="0063518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</w:t>
            </w:r>
            <w:r>
              <w:rPr>
                <w:rFonts w:ascii="David" w:hAnsi="David" w:cs="David"/>
                <w:sz w:val="24"/>
                <w:szCs w:val="24"/>
                <w:rtl/>
              </w:rPr>
              <w:t>רכת תארים אקדמיים בחוץ לאר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ץ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באדריכלות או הנדסה או הנדסאי אדריכלות.</w:t>
            </w:r>
          </w:p>
          <w:p w:rsidR="00635182" w:rsidRPr="009C5806" w:rsidRDefault="00635182" w:rsidP="0063518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רישום בפנקס המהנדסים והאדריכלים לפי חוק המהנדסים והאדריכלים, תשי"ח-1958 או רישום בפנקס האדריכלים.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635182" w:rsidRPr="009C5806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</w:t>
            </w:r>
          </w:p>
          <w:p w:rsidR="00635182" w:rsidRPr="009C5806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של 4 שנים לפחות באחד או יותר מהתחומים הבאים: אדריכלות, עריכת תכניות בניין עיר בנושא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תצ"ר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(תכניות לצורכי רישום), ליווי וקידום פרויקטים עירוניים וסטטוטוריים.</w:t>
            </w:r>
          </w:p>
          <w:p w:rsidR="00635182" w:rsidRPr="009C5806" w:rsidRDefault="00635182" w:rsidP="00635182">
            <w:pPr>
              <w:spacing w:after="0" w:line="240" w:lineRule="auto"/>
              <w:ind w:hanging="756"/>
              <w:rPr>
                <w:rFonts w:ascii="David" w:hAnsi="David" w:cs="David"/>
                <w:sz w:val="12"/>
                <w:szCs w:val="12"/>
              </w:rPr>
            </w:pPr>
          </w:p>
          <w:p w:rsidR="00635182" w:rsidRPr="003A0F0C" w:rsidRDefault="00635182" w:rsidP="00635182">
            <w:pPr>
              <w:pStyle w:val="a4"/>
              <w:spacing w:after="0" w:line="240" w:lineRule="auto"/>
              <w:ind w:hanging="756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עבור </w:t>
            </w:r>
            <w:r w:rsidRPr="003A0F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הנדסאי </w:t>
            </w:r>
            <w:r w:rsidRPr="003A0F0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אדריכלות </w:t>
            </w:r>
            <w:r w:rsidRPr="003A0F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רשום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>5 שנות ניסיון כאמור לעיל.</w:t>
            </w:r>
          </w:p>
          <w:p w:rsidR="00635182" w:rsidRPr="00B979D5" w:rsidRDefault="00635182" w:rsidP="00635182">
            <w:pPr>
              <w:spacing w:after="0" w:line="240" w:lineRule="auto"/>
              <w:rPr>
                <w:rFonts w:ascii="David" w:hAnsi="David" w:cs="David"/>
                <w:sz w:val="4"/>
                <w:szCs w:val="4"/>
                <w:rtl/>
              </w:rPr>
            </w:pPr>
          </w:p>
          <w:p w:rsidR="00635182" w:rsidRPr="003A0F0C" w:rsidRDefault="00635182" w:rsidP="00B979D5">
            <w:pPr>
              <w:pStyle w:val="a4"/>
              <w:spacing w:after="0" w:line="240" w:lineRule="auto"/>
              <w:ind w:left="329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635182" w:rsidRPr="00B70C27" w:rsidRDefault="00635182" w:rsidP="00635182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635182" w:rsidRPr="003A0F0C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בקיאות בחוק התכנון והבנייה, התשכ"ה-1965 והתקנות על פיו, לרבות ניסיון בקידום הליכים סטטוטוריים 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635182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עבודה בתחום המוניציפאלי 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635182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עבודה בתחום המוניציפאלי ובוועדות לתכנון ובניה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635182" w:rsidRPr="009C5806" w:rsidRDefault="00635182" w:rsidP="00635182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ניהולי</w:t>
            </w:r>
          </w:p>
          <w:p w:rsidR="00635182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ניסיון ניהולי של שנתיים בניהול צוות עובדים בכפיפות ישירה.</w:t>
            </w:r>
          </w:p>
          <w:p w:rsidR="00B979D5" w:rsidRPr="001A38B7" w:rsidRDefault="00B979D5" w:rsidP="00B979D5">
            <w:pPr>
              <w:pStyle w:val="a4"/>
              <w:spacing w:after="0" w:line="240" w:lineRule="auto"/>
              <w:ind w:hanging="39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</w:t>
            </w:r>
            <w:r w:rsidRPr="001A38B7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מספר העובדים</w:t>
            </w:r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ותאריכי העסקה </w:t>
            </w:r>
            <w:proofErr w:type="spellStart"/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sz w:val="16"/>
                <w:szCs w:val="16"/>
              </w:rPr>
            </w:pPr>
          </w:p>
          <w:p w:rsidR="00635182" w:rsidRPr="004E14D8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E14D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635182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שליטה בשפה העברית</w:t>
            </w:r>
          </w:p>
          <w:p w:rsidR="00635182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היכרות עם תוכנת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האופיס</w:t>
            </w:r>
            <w:proofErr w:type="spellEnd"/>
          </w:p>
          <w:p w:rsidR="00635182" w:rsidRPr="009C5806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עם מערכות ממוחשבות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אוטוקד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תלת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מימד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כושר מנהיגות ויכולת הובלה</w:t>
            </w:r>
            <w:r w:rsidR="00F16E03">
              <w:rPr>
                <w:rFonts w:ascii="David" w:hAnsi="David" w:cs="David" w:hint="cs"/>
                <w:sz w:val="24"/>
                <w:szCs w:val="24"/>
                <w:rtl/>
              </w:rPr>
              <w:t xml:space="preserve"> של תהליכים ופרויקטים</w:t>
            </w:r>
          </w:p>
          <w:p w:rsidR="00F16E03" w:rsidRDefault="00F16E03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ראייה תכנונית רחבה ומעמיקה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סמכותיות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יכולת ארגון, תיאום ובקרה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קפדנות ודייקנות בביצוע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יחסי אנוש טובים וייצוגיות</w:t>
            </w:r>
          </w:p>
          <w:p w:rsidR="00635182" w:rsidRPr="004E14D8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כושר הבעה בכתב ובעל פה</w:t>
            </w:r>
            <w:r w:rsidRPr="004E14D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635182" w:rsidRPr="009C5806" w:rsidTr="00635182">
        <w:trPr>
          <w:trHeight w:val="360"/>
        </w:trPr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18699B" w:rsidRDefault="00D673F8" w:rsidP="008B7F5D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r w:rsidR="008B7F5D">
        <w:rPr>
          <w:rFonts w:cs="David" w:hint="cs"/>
          <w:b/>
          <w:bCs/>
          <w:sz w:val="34"/>
          <w:szCs w:val="34"/>
          <w:rtl/>
        </w:rPr>
        <w:t>תכנון (תכניות בניין עיר)</w:t>
      </w:r>
    </w:p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B70C27" w:rsidRPr="00B70C27" w:rsidRDefault="00B70C27" w:rsidP="00B70C27">
      <w:pPr>
        <w:rPr>
          <w:sz w:val="12"/>
          <w:szCs w:val="12"/>
        </w:rPr>
      </w:pP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B70C27" w:rsidRPr="00D15199" w:rsidRDefault="00B70C27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1906C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="007516C9">
        <w:rPr>
          <w:rFonts w:hint="cs"/>
          <w:b/>
          <w:bCs/>
          <w:sz w:val="24"/>
          <w:szCs w:val="24"/>
          <w:rtl/>
        </w:rPr>
        <w:t xml:space="preserve">עד לתאריך </w:t>
      </w:r>
      <w:r w:rsidR="001906CE">
        <w:rPr>
          <w:rFonts w:hint="cs"/>
          <w:b/>
          <w:bCs/>
          <w:sz w:val="24"/>
          <w:szCs w:val="24"/>
          <w:u w:val="single"/>
          <w:rtl/>
        </w:rPr>
        <w:t>9</w:t>
      </w:r>
      <w:r w:rsidR="003A242C">
        <w:rPr>
          <w:rFonts w:hint="cs"/>
          <w:b/>
          <w:bCs/>
          <w:sz w:val="24"/>
          <w:szCs w:val="24"/>
          <w:u w:val="single"/>
          <w:rtl/>
        </w:rPr>
        <w:t>.</w:t>
      </w:r>
      <w:r w:rsidR="001906CE">
        <w:rPr>
          <w:rFonts w:hint="cs"/>
          <w:b/>
          <w:bCs/>
          <w:sz w:val="24"/>
          <w:szCs w:val="24"/>
          <w:u w:val="single"/>
          <w:rtl/>
        </w:rPr>
        <w:t>3</w:t>
      </w:r>
      <w:bookmarkStart w:id="0" w:name="_GoBack"/>
      <w:bookmarkEnd w:id="0"/>
      <w:r w:rsidR="003A242C">
        <w:rPr>
          <w:rFonts w:hint="cs"/>
          <w:b/>
          <w:bCs/>
          <w:sz w:val="24"/>
          <w:szCs w:val="24"/>
          <w:u w:val="single"/>
          <w:rtl/>
        </w:rPr>
        <w:t xml:space="preserve">.22 </w:t>
      </w:r>
      <w:r w:rsidR="00E3731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Pr="000719AD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E0"/>
    <w:multiLevelType w:val="hybridMultilevel"/>
    <w:tmpl w:val="3B06C508"/>
    <w:lvl w:ilvl="0" w:tplc="32EC16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5"/>
  </w:num>
  <w:num w:numId="17">
    <w:abstractNumId w:val="22"/>
  </w:num>
  <w:num w:numId="18">
    <w:abstractNumId w:val="10"/>
  </w:num>
  <w:num w:numId="19">
    <w:abstractNumId w:val="24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7"/>
  </w:num>
  <w:num w:numId="25">
    <w:abstractNumId w:val="16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906CE"/>
    <w:rsid w:val="001B4FC9"/>
    <w:rsid w:val="001C3938"/>
    <w:rsid w:val="001D4E3A"/>
    <w:rsid w:val="00216A63"/>
    <w:rsid w:val="0022577A"/>
    <w:rsid w:val="00227483"/>
    <w:rsid w:val="00232921"/>
    <w:rsid w:val="00261DF2"/>
    <w:rsid w:val="00280891"/>
    <w:rsid w:val="00280A6F"/>
    <w:rsid w:val="00281545"/>
    <w:rsid w:val="002F209D"/>
    <w:rsid w:val="002F284C"/>
    <w:rsid w:val="002F2A40"/>
    <w:rsid w:val="002F41AF"/>
    <w:rsid w:val="00300E88"/>
    <w:rsid w:val="00354692"/>
    <w:rsid w:val="00391B77"/>
    <w:rsid w:val="003A0F0C"/>
    <w:rsid w:val="003A242C"/>
    <w:rsid w:val="003E19AF"/>
    <w:rsid w:val="00407D7A"/>
    <w:rsid w:val="004176AB"/>
    <w:rsid w:val="00433FA8"/>
    <w:rsid w:val="004836C2"/>
    <w:rsid w:val="004B4D22"/>
    <w:rsid w:val="004D44A9"/>
    <w:rsid w:val="004D6DDA"/>
    <w:rsid w:val="004E14D8"/>
    <w:rsid w:val="004F6E02"/>
    <w:rsid w:val="005077BF"/>
    <w:rsid w:val="005421F6"/>
    <w:rsid w:val="00542202"/>
    <w:rsid w:val="005937A1"/>
    <w:rsid w:val="005C2313"/>
    <w:rsid w:val="005F29BD"/>
    <w:rsid w:val="00603160"/>
    <w:rsid w:val="00615B51"/>
    <w:rsid w:val="006165E7"/>
    <w:rsid w:val="00635182"/>
    <w:rsid w:val="00636EF8"/>
    <w:rsid w:val="00667CB5"/>
    <w:rsid w:val="00717129"/>
    <w:rsid w:val="007516C9"/>
    <w:rsid w:val="00777196"/>
    <w:rsid w:val="00785A49"/>
    <w:rsid w:val="007C09A7"/>
    <w:rsid w:val="007C56AC"/>
    <w:rsid w:val="007C69CE"/>
    <w:rsid w:val="007C6E5A"/>
    <w:rsid w:val="007C79E1"/>
    <w:rsid w:val="007D3FDD"/>
    <w:rsid w:val="007E24E0"/>
    <w:rsid w:val="00845E48"/>
    <w:rsid w:val="0088207E"/>
    <w:rsid w:val="008847BA"/>
    <w:rsid w:val="00893E68"/>
    <w:rsid w:val="008A634C"/>
    <w:rsid w:val="008B01ED"/>
    <w:rsid w:val="008B1EC2"/>
    <w:rsid w:val="008B7F5D"/>
    <w:rsid w:val="008D60A5"/>
    <w:rsid w:val="008F7565"/>
    <w:rsid w:val="00925A69"/>
    <w:rsid w:val="00981CA3"/>
    <w:rsid w:val="009A7434"/>
    <w:rsid w:val="009B27BF"/>
    <w:rsid w:val="009F032F"/>
    <w:rsid w:val="009F543C"/>
    <w:rsid w:val="00A36A84"/>
    <w:rsid w:val="00A4241A"/>
    <w:rsid w:val="00A924FD"/>
    <w:rsid w:val="00AA2D32"/>
    <w:rsid w:val="00AC0B02"/>
    <w:rsid w:val="00AF1AB9"/>
    <w:rsid w:val="00B174F7"/>
    <w:rsid w:val="00B34B1E"/>
    <w:rsid w:val="00B521CF"/>
    <w:rsid w:val="00B613B9"/>
    <w:rsid w:val="00B70C27"/>
    <w:rsid w:val="00B979D5"/>
    <w:rsid w:val="00BA5B38"/>
    <w:rsid w:val="00BC6464"/>
    <w:rsid w:val="00BD78A5"/>
    <w:rsid w:val="00BF46A6"/>
    <w:rsid w:val="00C155B8"/>
    <w:rsid w:val="00C61523"/>
    <w:rsid w:val="00C8380F"/>
    <w:rsid w:val="00C85428"/>
    <w:rsid w:val="00CB743E"/>
    <w:rsid w:val="00CD24B4"/>
    <w:rsid w:val="00D03643"/>
    <w:rsid w:val="00D103E3"/>
    <w:rsid w:val="00D2076F"/>
    <w:rsid w:val="00D3314C"/>
    <w:rsid w:val="00D5140C"/>
    <w:rsid w:val="00D673F8"/>
    <w:rsid w:val="00DB6882"/>
    <w:rsid w:val="00DB692D"/>
    <w:rsid w:val="00DD0167"/>
    <w:rsid w:val="00DE0051"/>
    <w:rsid w:val="00DF7140"/>
    <w:rsid w:val="00E22A70"/>
    <w:rsid w:val="00E37319"/>
    <w:rsid w:val="00E533E6"/>
    <w:rsid w:val="00EA3FCE"/>
    <w:rsid w:val="00EA5BF2"/>
    <w:rsid w:val="00EC7C61"/>
    <w:rsid w:val="00F16E03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8B5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0&amp;file=&amp;tenderdisplay=2022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7060-B9C7-46BD-95E2-FC32D6D0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17</cp:revision>
  <cp:lastPrinted>2022-02-08T10:38:00Z</cp:lastPrinted>
  <dcterms:created xsi:type="dcterms:W3CDTF">2022-02-07T06:46:00Z</dcterms:created>
  <dcterms:modified xsi:type="dcterms:W3CDTF">2022-02-23T05:38:00Z</dcterms:modified>
</cp:coreProperties>
</file>