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57" w:rsidRDefault="00317757" w:rsidP="00317757">
      <w:pPr>
        <w:pStyle w:val="2"/>
        <w:tabs>
          <w:tab w:val="left" w:pos="720"/>
          <w:tab w:val="left" w:pos="1440"/>
          <w:tab w:val="left" w:pos="2160"/>
        </w:tabs>
        <w:spacing w:before="0" w:after="0" w:line="240" w:lineRule="auto"/>
        <w:rPr>
          <w:rFonts w:cs="David"/>
          <w:b w:val="0"/>
          <w:bCs w:val="0"/>
          <w:sz w:val="28"/>
          <w:szCs w:val="28"/>
          <w:u w:val="none"/>
          <w:rtl/>
        </w:rPr>
      </w:pPr>
      <w:r w:rsidRPr="00C74BD8">
        <w:rPr>
          <w:rFonts w:cs="David" w:hint="cs"/>
          <w:sz w:val="28"/>
          <w:szCs w:val="28"/>
          <w:u w:val="none"/>
          <w:rtl/>
        </w:rPr>
        <w:t>עיריית בת ים</w:t>
      </w:r>
    </w:p>
    <w:p w:rsidR="00317757" w:rsidRPr="00317757" w:rsidRDefault="00317757" w:rsidP="00C1621B">
      <w:pPr>
        <w:pStyle w:val="2"/>
        <w:tabs>
          <w:tab w:val="left" w:pos="720"/>
          <w:tab w:val="left" w:pos="1440"/>
          <w:tab w:val="left" w:pos="2160"/>
        </w:tabs>
        <w:spacing w:before="0" w:after="0" w:line="240" w:lineRule="auto"/>
        <w:rPr>
          <w:rFonts w:cs="David"/>
          <w:b w:val="0"/>
          <w:bCs w:val="0"/>
          <w:sz w:val="25"/>
          <w:szCs w:val="25"/>
          <w:u w:val="none"/>
          <w:rtl/>
        </w:rPr>
      </w:pP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008324A2">
        <w:rPr>
          <w:rFonts w:cs="David" w:hint="cs"/>
          <w:b w:val="0"/>
          <w:bCs w:val="0"/>
          <w:sz w:val="25"/>
          <w:szCs w:val="25"/>
          <w:u w:val="none"/>
          <w:rtl/>
        </w:rPr>
        <w:t xml:space="preserve">                  25 ינואר 2022</w:t>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hint="cs"/>
          <w:b w:val="0"/>
          <w:bCs w:val="0"/>
          <w:sz w:val="25"/>
          <w:szCs w:val="25"/>
          <w:u w:val="none"/>
          <w:rtl/>
        </w:rPr>
        <w:t xml:space="preserve">              </w:t>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b w:val="0"/>
          <w:bCs w:val="0"/>
          <w:sz w:val="25"/>
          <w:szCs w:val="25"/>
          <w:u w:val="none"/>
          <w:rtl/>
        </w:rPr>
        <w:tab/>
      </w:r>
      <w:r w:rsidRPr="00317757">
        <w:rPr>
          <w:rFonts w:cs="David" w:hint="cs"/>
          <w:b w:val="0"/>
          <w:bCs w:val="0"/>
          <w:sz w:val="25"/>
          <w:szCs w:val="25"/>
          <w:u w:val="none"/>
          <w:rtl/>
        </w:rPr>
        <w:t xml:space="preserve">                                      </w:t>
      </w:r>
    </w:p>
    <w:p w:rsidR="00317757" w:rsidRPr="007C69CE" w:rsidRDefault="00317757" w:rsidP="00317757">
      <w:pPr>
        <w:spacing w:after="0" w:line="240" w:lineRule="auto"/>
        <w:rPr>
          <w:rFonts w:asciiTheme="minorBidi" w:hAnsiTheme="minorBidi" w:cs="David"/>
          <w:b/>
          <w:bCs/>
          <w:sz w:val="30"/>
          <w:szCs w:val="30"/>
          <w:rtl/>
        </w:rPr>
      </w:pPr>
      <w:r w:rsidRPr="009A7BB1">
        <w:rPr>
          <w:rFonts w:asciiTheme="minorBidi" w:hAnsiTheme="minorBidi" w:cs="David" w:hint="cs"/>
          <w:sz w:val="30"/>
          <w:szCs w:val="30"/>
          <w:rtl/>
        </w:rPr>
        <w:t xml:space="preserve">                           </w:t>
      </w:r>
      <w:r>
        <w:rPr>
          <w:rFonts w:asciiTheme="minorBidi" w:hAnsiTheme="minorBidi" w:cs="David" w:hint="cs"/>
          <w:sz w:val="30"/>
          <w:szCs w:val="30"/>
          <w:rtl/>
        </w:rPr>
        <w:t xml:space="preserve">                        </w:t>
      </w:r>
      <w:r>
        <w:rPr>
          <w:rFonts w:asciiTheme="minorBidi" w:hAnsiTheme="minorBidi" w:cs="David" w:hint="cs"/>
          <w:b/>
          <w:bCs/>
          <w:sz w:val="30"/>
          <w:szCs w:val="30"/>
          <w:rtl/>
        </w:rPr>
        <w:t xml:space="preserve">                 </w:t>
      </w:r>
      <w:r w:rsidRPr="007C69CE">
        <w:rPr>
          <w:rFonts w:asciiTheme="minorBidi" w:hAnsiTheme="minorBidi" w:cs="David"/>
          <w:b/>
          <w:bCs/>
          <w:sz w:val="30"/>
          <w:szCs w:val="30"/>
          <w:rtl/>
        </w:rPr>
        <w:t>עיריית בת-ים</w:t>
      </w:r>
    </w:p>
    <w:p w:rsidR="00317757" w:rsidRDefault="00317757" w:rsidP="00A64CD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פנימי/חיצוני</w:t>
      </w:r>
      <w:r w:rsidRPr="00603160">
        <w:rPr>
          <w:rFonts w:asciiTheme="minorBidi" w:hAnsiTheme="minorBidi" w:cs="David" w:hint="cs"/>
          <w:b/>
          <w:bCs/>
          <w:color w:val="auto"/>
          <w:sz w:val="30"/>
          <w:szCs w:val="30"/>
          <w:rtl/>
        </w:rPr>
        <w:t xml:space="preserve"> </w:t>
      </w:r>
      <w:r w:rsidR="00A64CD4">
        <w:rPr>
          <w:rFonts w:asciiTheme="minorBidi" w:hAnsiTheme="minorBidi" w:cs="David" w:hint="cs"/>
          <w:b/>
          <w:bCs/>
          <w:color w:val="auto"/>
          <w:sz w:val="30"/>
          <w:szCs w:val="30"/>
          <w:rtl/>
        </w:rPr>
        <w:t>10</w:t>
      </w:r>
      <w:r w:rsidRPr="00603160">
        <w:rPr>
          <w:rFonts w:asciiTheme="minorBidi" w:hAnsiTheme="minorBidi" w:cs="David" w:hint="cs"/>
          <w:b/>
          <w:bCs/>
          <w:color w:val="auto"/>
          <w:sz w:val="30"/>
          <w:szCs w:val="30"/>
          <w:rtl/>
        </w:rPr>
        <w:t>/</w:t>
      </w:r>
      <w:r w:rsidR="00A64CD4">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317757" w:rsidRPr="00317757" w:rsidRDefault="00317757" w:rsidP="00317757">
      <w:pPr>
        <w:jc w:val="center"/>
        <w:rPr>
          <w:rFonts w:cs="David"/>
          <w:b/>
          <w:bCs/>
          <w:sz w:val="34"/>
          <w:szCs w:val="34"/>
          <w:rtl/>
        </w:rPr>
      </w:pPr>
      <w:r>
        <w:rPr>
          <w:rFonts w:cs="David" w:hint="cs"/>
          <w:b/>
          <w:bCs/>
          <w:sz w:val="34"/>
          <w:szCs w:val="34"/>
          <w:rtl/>
        </w:rPr>
        <w:t>מנהל/ת המחלקה לפיקוח על הבניה בוועדה המקומית</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אגף ההנדסה</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מנהל/ת המחלקה לפיקוח על הבניה בוועדה המקומית</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317757" w:rsidRPr="00317757" w:rsidRDefault="00317757" w:rsidP="00317757">
            <w:pPr>
              <w:pStyle w:val="a4"/>
              <w:spacing w:after="0" w:line="240" w:lineRule="auto"/>
              <w:ind w:hanging="720"/>
              <w:rPr>
                <w:rFonts w:ascii="David" w:hAnsi="David" w:cs="David"/>
                <w:sz w:val="24"/>
                <w:szCs w:val="24"/>
                <w:rtl/>
              </w:rPr>
            </w:pPr>
            <w:r w:rsidRPr="00317757">
              <w:rPr>
                <w:rFonts w:ascii="David" w:hAnsi="David" w:cs="David"/>
                <w:sz w:val="24"/>
                <w:szCs w:val="24"/>
                <w:rtl/>
              </w:rPr>
              <w:t>על פי הסכם קיבוצי/חוזה בכירים בכפוף לאישור משרד הפנים</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מלאה</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פנימי/חיצוני</w:t>
            </w:r>
          </w:p>
        </w:tc>
      </w:tr>
      <w:tr w:rsidR="00317757" w:rsidRPr="00317757" w:rsidTr="00317757">
        <w:tc>
          <w:tcPr>
            <w:tcW w:w="1596" w:type="dxa"/>
            <w:tcBorders>
              <w:bottom w:val="single" w:sz="4" w:space="0" w:color="auto"/>
            </w:tcBorders>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317757" w:rsidRPr="00317757" w:rsidRDefault="00317757" w:rsidP="00317757">
            <w:pPr>
              <w:spacing w:after="0" w:line="240" w:lineRule="auto"/>
              <w:rPr>
                <w:rFonts w:ascii="David" w:hAnsi="David" w:cs="David"/>
                <w:b/>
                <w:bCs/>
                <w:rtl/>
              </w:rPr>
            </w:pPr>
            <w:r w:rsidRPr="00317757">
              <w:rPr>
                <w:rFonts w:ascii="David" w:hAnsi="David" w:cs="David"/>
                <w:rtl/>
              </w:rPr>
              <w:t xml:space="preserve">שמירת ואכיפת הוראות חוק התכנון והבניה ברשות המקומית ובכלל זה אחריות לפיקוח על הבניה ע"פ </w:t>
            </w:r>
            <w:proofErr w:type="spellStart"/>
            <w:r w:rsidRPr="00317757">
              <w:rPr>
                <w:rFonts w:ascii="David" w:hAnsi="David" w:cs="David"/>
                <w:rtl/>
              </w:rPr>
              <w:t>תוכניות</w:t>
            </w:r>
            <w:proofErr w:type="spellEnd"/>
            <w:r w:rsidRPr="00317757">
              <w:rPr>
                <w:rFonts w:ascii="David" w:hAnsi="David" w:cs="David"/>
                <w:rtl/>
              </w:rPr>
              <w:t>, היתרי בניה והוראות החוק.</w:t>
            </w:r>
          </w:p>
          <w:p w:rsidR="00317757" w:rsidRPr="00317757" w:rsidRDefault="00317757" w:rsidP="00317757">
            <w:pPr>
              <w:spacing w:after="0" w:line="240" w:lineRule="auto"/>
              <w:rPr>
                <w:rFonts w:ascii="David" w:hAnsi="David" w:cs="David"/>
                <w:rtl/>
              </w:rPr>
            </w:pPr>
            <w:r w:rsidRPr="00317757">
              <w:rPr>
                <w:rFonts w:ascii="David" w:hAnsi="David" w:cs="David"/>
                <w:b/>
                <w:bCs/>
                <w:rtl/>
              </w:rPr>
              <w:t>ניהול, ארגון ופיתוח יחידת הפיקוח של הועדה המקומית:</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סיוע בגיבוש מדיניות האכיפה של הועדה המקומית</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ניהול פעולות הפיקוח, האכיפה המנהלית, האכיפה הפלילית (חקירה) וביצוע צווים במרחב התכנון המקומי</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הכנת תכנית עבודה שנתית ליחידת הפיקוח</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בקרה שוטפת על הליכי פיקוח הבנייה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אחריות על טיפול בעבירות וחריגות בנייה במרחב התכנון המקומי</w:t>
            </w:r>
          </w:p>
          <w:p w:rsidR="00317757" w:rsidRPr="00317757" w:rsidRDefault="00317757" w:rsidP="00317757">
            <w:pPr>
              <w:spacing w:after="0" w:line="240" w:lineRule="auto"/>
              <w:rPr>
                <w:rFonts w:ascii="David" w:eastAsia="Times New Roman" w:hAnsi="David" w:cs="David"/>
                <w:b/>
                <w:bCs/>
                <w:rtl/>
              </w:rPr>
            </w:pPr>
            <w:r w:rsidRPr="00317757">
              <w:rPr>
                <w:rFonts w:ascii="David" w:eastAsia="Times New Roman" w:hAnsi="David" w:cs="David"/>
                <w:b/>
                <w:bCs/>
                <w:rtl/>
              </w:rPr>
              <w:t>אחריות על צוות העובדים במחלקה: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הנחייה מקצועית של עובדי המחלקה</w:t>
            </w:r>
          </w:p>
          <w:p w:rsidR="00317757" w:rsidRPr="00317757" w:rsidRDefault="00317757" w:rsidP="00317757">
            <w:pPr>
              <w:pStyle w:val="a4"/>
              <w:numPr>
                <w:ilvl w:val="0"/>
                <w:numId w:val="36"/>
              </w:numPr>
              <w:spacing w:line="240" w:lineRule="auto"/>
              <w:rPr>
                <w:rFonts w:ascii="David" w:hAnsi="David" w:cs="David"/>
                <w:sz w:val="24"/>
                <w:szCs w:val="24"/>
              </w:rPr>
            </w:pPr>
            <w:r w:rsidRPr="00317757">
              <w:rPr>
                <w:rFonts w:ascii="David" w:hAnsi="David" w:cs="David"/>
                <w:sz w:val="24"/>
                <w:szCs w:val="24"/>
                <w:rtl/>
              </w:rPr>
              <w:t>בקרה על הכשרה ושמירת הכשירות של המפקחים</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הנחיית המפקחים בביצוע סקרי בנייה</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hAnsi="David" w:cs="David"/>
                <w:sz w:val="24"/>
                <w:szCs w:val="24"/>
                <w:rtl/>
              </w:rPr>
              <w:t>בקרה על רמת ואיכות השירותים הניתנים ע"י המחלקה לגורמים פנים וחוץ עירוניים.</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sz w:val="24"/>
                <w:szCs w:val="24"/>
                <w:rtl/>
              </w:rPr>
              <w:t>ניהול הטיפול בתלונות ופניות הציבור</w:t>
            </w:r>
          </w:p>
          <w:p w:rsidR="00317757" w:rsidRPr="00317757" w:rsidRDefault="00317757" w:rsidP="00317757">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הפעלת סמכויות אכיפה בהתאם לחוק ולהנחיות מקצועיות</w:t>
            </w:r>
            <w:r w:rsidRPr="00317757">
              <w:rPr>
                <w:rFonts w:ascii="David" w:eastAsia="Times New Roman" w:hAnsi="David" w:cs="David"/>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ייזום, תכנון והוצאה לפועל של מבצעי אכיפה במרחב התכנון המקומי</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יצירת שיתופי פעולה עם גורמי אכיפה שונים במרחב, וייזום פעולות אכיפה משולבות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הפעלת סמכויות אכיפה הקשורות לעבירות בנייה ושימוש – הוצאת התראות וצווים ואכיפתם לרבות הריסות מבנים, הופעה בבית המשפט.</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הטיפול בתלונות על עבירות לפי חוק התכנון והבניה</w:t>
            </w:r>
          </w:p>
          <w:p w:rsidR="00317757" w:rsidRPr="00317757" w:rsidRDefault="00317757" w:rsidP="00317757">
            <w:pPr>
              <w:spacing w:after="0" w:line="240" w:lineRule="auto"/>
              <w:rPr>
                <w:rFonts w:ascii="David" w:eastAsia="Times New Roman" w:hAnsi="David" w:cs="David"/>
                <w:color w:val="333333"/>
              </w:rPr>
            </w:pPr>
            <w:r w:rsidRPr="00317757">
              <w:rPr>
                <w:rFonts w:ascii="David" w:eastAsia="Times New Roman" w:hAnsi="David" w:cs="David"/>
                <w:b/>
                <w:bCs/>
                <w:color w:val="333333"/>
                <w:shd w:val="clear" w:color="auto" w:fill="FFFFFF"/>
                <w:rtl/>
              </w:rPr>
              <w:t>מעקב ובקרה בתחום הפיקוח על הבניה</w:t>
            </w:r>
            <w:r w:rsidRPr="00317757">
              <w:rPr>
                <w:rFonts w:ascii="David" w:eastAsia="Times New Roman" w:hAnsi="David" w:cs="David"/>
                <w:color w:val="333333"/>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אחריות לטיפול בחריגות בנייה לרבות – פתיחת תיקים, הכנת דו"חות, הכנה ומסירה של צווים והכנת תיקים למחלקה המשפטית.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המידע והידע בתחום האחריות</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 xml:space="preserve">הכנת דו"חות תקופתיים על ביצוע הפעולות הפיקוח בוועדה המקומית והגשתם לממונה </w:t>
            </w:r>
          </w:p>
          <w:p w:rsidR="00317757" w:rsidRPr="00317757" w:rsidRDefault="00317757" w:rsidP="00317757">
            <w:pPr>
              <w:pStyle w:val="a4"/>
              <w:numPr>
                <w:ilvl w:val="0"/>
                <w:numId w:val="36"/>
              </w:numPr>
              <w:spacing w:line="240" w:lineRule="auto"/>
              <w:rPr>
                <w:rFonts w:ascii="David" w:eastAsia="Times New Roman" w:hAnsi="David" w:cs="David"/>
                <w:sz w:val="24"/>
                <w:szCs w:val="24"/>
              </w:rPr>
            </w:pPr>
            <w:r w:rsidRPr="00317757">
              <w:rPr>
                <w:rFonts w:ascii="David" w:eastAsia="Times New Roman" w:hAnsi="David" w:cs="David"/>
                <w:color w:val="333333"/>
                <w:sz w:val="24"/>
                <w:szCs w:val="24"/>
                <w:rtl/>
              </w:rPr>
              <w:t>קיום קשר רציף עם היחידה הארצית לאכיפה דיני התכנון והבניה לנושאים שבתחום האחריות</w:t>
            </w:r>
            <w:r w:rsidRPr="00317757">
              <w:rPr>
                <w:rFonts w:ascii="David" w:eastAsia="Times New Roman" w:hAnsi="David" w:cs="David"/>
                <w:sz w:val="24"/>
                <w:szCs w:val="24"/>
                <w:rtl/>
              </w:rPr>
              <w:t>.</w:t>
            </w:r>
          </w:p>
          <w:p w:rsidR="00317757" w:rsidRPr="00317757" w:rsidRDefault="00317757" w:rsidP="00317757">
            <w:pPr>
              <w:spacing w:after="0" w:line="240" w:lineRule="auto"/>
              <w:rPr>
                <w:rFonts w:ascii="David" w:eastAsia="Times New Roman" w:hAnsi="David" w:cs="David"/>
                <w:rtl/>
              </w:rPr>
            </w:pPr>
            <w:r w:rsidRPr="00317757">
              <w:rPr>
                <w:rFonts w:ascii="David" w:eastAsia="Times New Roman" w:hAnsi="David" w:cs="David"/>
                <w:b/>
                <w:bCs/>
                <w:color w:val="333333"/>
                <w:shd w:val="clear" w:color="auto" w:fill="FFFFFF"/>
                <w:rtl/>
              </w:rPr>
              <w:t>איסוף מידע מהשטח לבקשת מוסד תכנון</w:t>
            </w:r>
            <w:r w:rsidRPr="00317757">
              <w:rPr>
                <w:rFonts w:ascii="David" w:eastAsia="Times New Roman" w:hAnsi="David" w:cs="David"/>
                <w:rtl/>
              </w:rPr>
              <w:t>:</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ניהול פעולות הכנת והגשת חוות דעת מקצועיות בנושאי רישוי</w:t>
            </w:r>
          </w:p>
          <w:p w:rsidR="00317757" w:rsidRPr="00317757" w:rsidRDefault="00317757" w:rsidP="00317757">
            <w:pPr>
              <w:pStyle w:val="a4"/>
              <w:numPr>
                <w:ilvl w:val="0"/>
                <w:numId w:val="36"/>
              </w:numPr>
              <w:spacing w:after="0" w:line="240" w:lineRule="auto"/>
              <w:rPr>
                <w:rFonts w:ascii="David" w:eastAsia="Times New Roman" w:hAnsi="David" w:cs="David"/>
                <w:sz w:val="24"/>
                <w:szCs w:val="24"/>
              </w:rPr>
            </w:pPr>
            <w:r w:rsidRPr="00317757">
              <w:rPr>
                <w:rFonts w:ascii="David" w:eastAsia="Times New Roman" w:hAnsi="David" w:cs="David"/>
                <w:color w:val="333333"/>
                <w:sz w:val="24"/>
                <w:szCs w:val="24"/>
                <w:rtl/>
              </w:rPr>
              <w:t>השתתפות בישיבות הקשורות לתחומי אחריותו</w:t>
            </w:r>
          </w:p>
          <w:p w:rsidR="00317757" w:rsidRPr="00317757" w:rsidRDefault="00317757" w:rsidP="00317757">
            <w:pPr>
              <w:autoSpaceDE w:val="0"/>
              <w:autoSpaceDN w:val="0"/>
              <w:spacing w:after="0" w:line="240" w:lineRule="auto"/>
              <w:rPr>
                <w:rFonts w:ascii="David" w:hAnsi="David" w:cs="David"/>
                <w:color w:val="000000"/>
                <w:rtl/>
              </w:rPr>
            </w:pPr>
            <w:r w:rsidRPr="00317757">
              <w:rPr>
                <w:rFonts w:ascii="David" w:hAnsi="David" w:cs="David"/>
                <w:rtl/>
              </w:rPr>
              <w:t>מילוי כל מטלה ומשימה שתוטל מעת לעת ע"י הממונה ו/או מהנדס העיר</w:t>
            </w:r>
          </w:p>
        </w:tc>
      </w:tr>
      <w:tr w:rsidR="00317757" w:rsidRPr="00317757" w:rsidTr="00317757">
        <w:tc>
          <w:tcPr>
            <w:tcW w:w="1596" w:type="dxa"/>
            <w:tcBorders>
              <w:bottom w:val="single" w:sz="4" w:space="0" w:color="auto"/>
            </w:tcBorders>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317757" w:rsidRPr="00317757" w:rsidRDefault="00317757" w:rsidP="00317757">
            <w:pPr>
              <w:pStyle w:val="a4"/>
              <w:numPr>
                <w:ilvl w:val="0"/>
                <w:numId w:val="30"/>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317757" w:rsidRPr="00317757" w:rsidRDefault="00317757" w:rsidP="00317757">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317757" w:rsidRPr="00317757" w:rsidRDefault="00317757" w:rsidP="00317757">
            <w:pPr>
              <w:spacing w:after="0" w:line="240" w:lineRule="auto"/>
              <w:rPr>
                <w:rFonts w:ascii="David" w:hAnsi="David" w:cs="David"/>
                <w:rtl/>
              </w:rPr>
            </w:pPr>
          </w:p>
          <w:p w:rsidR="00317757" w:rsidRPr="00317757" w:rsidRDefault="00317757" w:rsidP="00317757">
            <w:pPr>
              <w:pStyle w:val="a4"/>
              <w:numPr>
                <w:ilvl w:val="0"/>
                <w:numId w:val="30"/>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317757" w:rsidRPr="00317757" w:rsidRDefault="00317757" w:rsidP="00317757">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317757" w:rsidRPr="00317757" w:rsidRDefault="00317757" w:rsidP="00317757">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317757" w:rsidRPr="00317757" w:rsidRDefault="00317757" w:rsidP="00317757">
            <w:pPr>
              <w:pStyle w:val="a4"/>
              <w:spacing w:after="0" w:line="240" w:lineRule="auto"/>
              <w:rPr>
                <w:rFonts w:ascii="David" w:hAnsi="David" w:cs="David"/>
                <w:b/>
                <w:bCs/>
                <w:sz w:val="24"/>
                <w:szCs w:val="24"/>
                <w:rtl/>
              </w:rPr>
            </w:pPr>
          </w:p>
          <w:p w:rsidR="00317757" w:rsidRPr="00317757" w:rsidRDefault="00317757" w:rsidP="00317757">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317757" w:rsidRDefault="00317757" w:rsidP="00317757">
            <w:pPr>
              <w:spacing w:after="0" w:line="240" w:lineRule="auto"/>
              <w:rPr>
                <w:rFonts w:ascii="David" w:hAnsi="David" w:cs="David"/>
                <w:rtl/>
              </w:rPr>
            </w:pPr>
          </w:p>
          <w:p w:rsidR="00317757" w:rsidRDefault="00317757" w:rsidP="00317757">
            <w:pPr>
              <w:spacing w:after="0" w:line="240" w:lineRule="auto"/>
              <w:rPr>
                <w:rFonts w:ascii="David" w:hAnsi="David" w:cs="David"/>
                <w:rtl/>
              </w:rPr>
            </w:pPr>
          </w:p>
          <w:p w:rsidR="00317757" w:rsidRDefault="00317757" w:rsidP="00317757">
            <w:pPr>
              <w:spacing w:after="0" w:line="240" w:lineRule="auto"/>
              <w:rPr>
                <w:rFonts w:ascii="David" w:hAnsi="David" w:cs="David"/>
                <w:rtl/>
              </w:rPr>
            </w:pPr>
          </w:p>
          <w:p w:rsidR="00317757" w:rsidRPr="00317757" w:rsidRDefault="00317757" w:rsidP="00317757">
            <w:pPr>
              <w:pStyle w:val="a4"/>
              <w:numPr>
                <w:ilvl w:val="0"/>
                <w:numId w:val="30"/>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317757" w:rsidRPr="00317757" w:rsidRDefault="00317757" w:rsidP="00317757">
            <w:pPr>
              <w:pStyle w:val="a4"/>
              <w:numPr>
                <w:ilvl w:val="0"/>
                <w:numId w:val="34"/>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317757" w:rsidRPr="00317757" w:rsidRDefault="00317757" w:rsidP="00317757">
            <w:pPr>
              <w:pStyle w:val="a4"/>
              <w:numPr>
                <w:ilvl w:val="0"/>
                <w:numId w:val="34"/>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317757" w:rsidRPr="00317757" w:rsidRDefault="00317757" w:rsidP="00317757">
            <w:pPr>
              <w:pStyle w:val="a4"/>
              <w:numPr>
                <w:ilvl w:val="0"/>
                <w:numId w:val="35"/>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317757" w:rsidRPr="00317757" w:rsidRDefault="00317757" w:rsidP="00317757">
            <w:pPr>
              <w:pStyle w:val="a4"/>
              <w:numPr>
                <w:ilvl w:val="0"/>
                <w:numId w:val="35"/>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317757" w:rsidRPr="00317757" w:rsidTr="00317757">
        <w:trPr>
          <w:trHeight w:val="2302"/>
        </w:trPr>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317757" w:rsidRPr="00317757" w:rsidRDefault="00317757" w:rsidP="00317757">
            <w:pPr>
              <w:pStyle w:val="a4"/>
              <w:numPr>
                <w:ilvl w:val="0"/>
                <w:numId w:val="20"/>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317757" w:rsidRPr="00317757" w:rsidRDefault="00317757" w:rsidP="00317757">
            <w:pPr>
              <w:pStyle w:val="a4"/>
              <w:numPr>
                <w:ilvl w:val="0"/>
                <w:numId w:val="20"/>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317757" w:rsidRPr="00317757" w:rsidTr="00317757">
        <w:tc>
          <w:tcPr>
            <w:tcW w:w="159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317757" w:rsidRPr="00317757" w:rsidRDefault="00317757" w:rsidP="00317757">
            <w:pPr>
              <w:tabs>
                <w:tab w:val="left" w:pos="8126"/>
              </w:tabs>
              <w:spacing w:after="0" w:line="240" w:lineRule="auto"/>
              <w:contextualSpacing/>
              <w:rPr>
                <w:rFonts w:ascii="David" w:hAnsi="David" w:cs="David"/>
                <w:rtl/>
              </w:rPr>
            </w:pPr>
            <w:r w:rsidRPr="00317757">
              <w:rPr>
                <w:rFonts w:ascii="David" w:hAnsi="David" w:cs="David"/>
                <w:rtl/>
              </w:rPr>
              <w:t>מהנדסת העיר או מי מטעמה</w:t>
            </w:r>
          </w:p>
        </w:tc>
      </w:tr>
    </w:tbl>
    <w:p w:rsidR="000F2030" w:rsidRDefault="00B521CF" w:rsidP="00317757">
      <w:pPr>
        <w:pStyle w:val="2"/>
        <w:tabs>
          <w:tab w:val="left" w:pos="720"/>
          <w:tab w:val="left" w:pos="1440"/>
          <w:tab w:val="left" w:pos="2160"/>
        </w:tabs>
        <w:spacing w:before="0" w:after="0" w:line="240" w:lineRule="auto"/>
        <w:rPr>
          <w:rFonts w:cs="David"/>
          <w:sz w:val="10"/>
          <w:szCs w:val="10"/>
          <w:rtl/>
        </w:rPr>
      </w:pPr>
      <w:r w:rsidRPr="00C74BD8">
        <w:rPr>
          <w:rFonts w:cs="David" w:hint="cs"/>
          <w:b w:val="0"/>
          <w:bCs w:val="0"/>
          <w:sz w:val="28"/>
          <w:szCs w:val="28"/>
          <w:u w:val="none"/>
          <w:rtl/>
        </w:rPr>
        <w:t xml:space="preserve"> </w:t>
      </w:r>
    </w:p>
    <w:p w:rsidR="00317757" w:rsidRPr="00317757" w:rsidRDefault="00317757" w:rsidP="00317757">
      <w:pPr>
        <w:rPr>
          <w:rtl/>
        </w:rPr>
      </w:pPr>
    </w:p>
    <w:p w:rsidR="00216A63" w:rsidRPr="00603160" w:rsidRDefault="00216A63" w:rsidP="00D450CD">
      <w:pPr>
        <w:pStyle w:val="2"/>
        <w:spacing w:before="0" w:after="0" w:line="240" w:lineRule="auto"/>
        <w:rPr>
          <w:rFonts w:cs="David"/>
        </w:rPr>
      </w:pPr>
      <w:r>
        <w:rPr>
          <w:rFonts w:cs="David" w:hint="cs"/>
          <w:rtl/>
        </w:rPr>
        <w:t>ה</w:t>
      </w:r>
      <w:r w:rsidRPr="00603160">
        <w:rPr>
          <w:rFonts w:cs="David"/>
          <w:rtl/>
        </w:rPr>
        <w:t>ערות:</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C1621B">
      <w:pPr>
        <w:pStyle w:val="a4"/>
        <w:numPr>
          <w:ilvl w:val="0"/>
          <w:numId w:val="2"/>
        </w:numPr>
        <w:spacing w:after="0" w:line="240" w:lineRule="auto"/>
        <w:ind w:left="357" w:hanging="357"/>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C1621B">
      <w:pPr>
        <w:pStyle w:val="a4"/>
        <w:numPr>
          <w:ilvl w:val="0"/>
          <w:numId w:val="2"/>
        </w:numPr>
        <w:shd w:val="clear" w:color="auto" w:fill="FFFFFF"/>
        <w:spacing w:after="0" w:line="240" w:lineRule="auto"/>
        <w:ind w:left="357" w:hanging="357"/>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Pr="00D15199" w:rsidRDefault="00216A63" w:rsidP="00C1621B">
      <w:pPr>
        <w:pStyle w:val="a4"/>
        <w:numPr>
          <w:ilvl w:val="0"/>
          <w:numId w:val="2"/>
        </w:numPr>
        <w:shd w:val="clear" w:color="auto" w:fill="FFFFFF"/>
        <w:spacing w:after="0" w:line="240" w:lineRule="auto"/>
        <w:ind w:left="357" w:hanging="357"/>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Default="00216A63" w:rsidP="00C1621B">
      <w:pPr>
        <w:pStyle w:val="a4"/>
        <w:numPr>
          <w:ilvl w:val="0"/>
          <w:numId w:val="2"/>
        </w:numPr>
        <w:spacing w:after="0" w:line="240" w:lineRule="auto"/>
        <w:ind w:left="357" w:hanging="357"/>
        <w:rPr>
          <w:rFonts w:ascii="David" w:hAnsi="David" w:cs="David"/>
        </w:rPr>
      </w:pPr>
      <w:r w:rsidRPr="00D15199">
        <w:rPr>
          <w:rFonts w:ascii="David" w:hAnsi="David" w:cs="David"/>
          <w:rtl/>
        </w:rPr>
        <w:t>בכל מקום בו נאמר בלשון זכר, הכוונה גם ללשון נקבה ולהיפך.</w:t>
      </w:r>
    </w:p>
    <w:p w:rsidR="00C74BD8" w:rsidRPr="00A82BD2" w:rsidRDefault="00A82BD2" w:rsidP="00C1621B">
      <w:pPr>
        <w:pStyle w:val="a4"/>
        <w:numPr>
          <w:ilvl w:val="0"/>
          <w:numId w:val="2"/>
        </w:numPr>
        <w:spacing w:after="0" w:line="240" w:lineRule="auto"/>
        <w:ind w:left="357" w:hanging="357"/>
        <w:rPr>
          <w:rFonts w:cs="David"/>
          <w:rtl/>
        </w:rPr>
      </w:pPr>
      <w:r w:rsidRPr="00A82BD2">
        <w:rPr>
          <w:rFonts w:ascii="David" w:hAnsi="David" w:cs="David"/>
          <w:color w:val="000000"/>
          <w:shd w:val="clear" w:color="auto" w:fill="FFFFFF"/>
          <w:rtl/>
        </w:rPr>
        <w:t>מועמד שיבחר לתפקיד ישובץ במערך החירום העירוני</w:t>
      </w:r>
    </w:p>
    <w:p w:rsidR="00A82BD2" w:rsidRDefault="00A82BD2" w:rsidP="00216A63">
      <w:pPr>
        <w:pStyle w:val="2"/>
        <w:spacing w:before="0" w:after="0" w:line="240" w:lineRule="auto"/>
        <w:rPr>
          <w:rFonts w:cs="David"/>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8324A2">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8324A2">
        <w:rPr>
          <w:rFonts w:hint="cs"/>
          <w:b/>
          <w:bCs/>
          <w:sz w:val="24"/>
          <w:szCs w:val="24"/>
          <w:u w:val="single"/>
          <w:rtl/>
        </w:rPr>
        <w:t>8.2.22</w:t>
      </w:r>
      <w:r w:rsidR="00317757">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972695" w:rsidRDefault="00972695" w:rsidP="00A82BD2">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23C9"/>
    <w:multiLevelType w:val="hybridMultilevel"/>
    <w:tmpl w:val="E4F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D6D0B"/>
    <w:multiLevelType w:val="hybridMultilevel"/>
    <w:tmpl w:val="1704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2"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F092F"/>
    <w:multiLevelType w:val="hybridMultilevel"/>
    <w:tmpl w:val="53C0887E"/>
    <w:lvl w:ilvl="0" w:tplc="83AE2C42">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7"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3"/>
  </w:num>
  <w:num w:numId="4">
    <w:abstractNumId w:val="20"/>
  </w:num>
  <w:num w:numId="5">
    <w:abstractNumId w:val="28"/>
  </w:num>
  <w:num w:numId="6">
    <w:abstractNumId w:val="24"/>
  </w:num>
  <w:num w:numId="7">
    <w:abstractNumId w:val="26"/>
  </w:num>
  <w:num w:numId="8">
    <w:abstractNumId w:val="7"/>
  </w:num>
  <w:num w:numId="9">
    <w:abstractNumId w:val="13"/>
  </w:num>
  <w:num w:numId="10">
    <w:abstractNumId w:val="9"/>
  </w:num>
  <w:num w:numId="11">
    <w:abstractNumId w:val="5"/>
  </w:num>
  <w:num w:numId="12">
    <w:abstractNumId w:val="27"/>
  </w:num>
  <w:num w:numId="13">
    <w:abstractNumId w:val="34"/>
  </w:num>
  <w:num w:numId="14">
    <w:abstractNumId w:val="21"/>
  </w:num>
  <w:num w:numId="15">
    <w:abstractNumId w:val="19"/>
  </w:num>
  <w:num w:numId="16">
    <w:abstractNumId w:val="8"/>
  </w:num>
  <w:num w:numId="17">
    <w:abstractNumId w:val="31"/>
  </w:num>
  <w:num w:numId="18">
    <w:abstractNumId w:val="17"/>
  </w:num>
  <w:num w:numId="19">
    <w:abstractNumId w:val="33"/>
  </w:num>
  <w:num w:numId="20">
    <w:abstractNumId w:val="3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num>
  <w:num w:numId="24">
    <w:abstractNumId w:val="25"/>
  </w:num>
  <w:num w:numId="25">
    <w:abstractNumId w:val="10"/>
  </w:num>
  <w:num w:numId="26">
    <w:abstractNumId w:val="1"/>
  </w:num>
  <w:num w:numId="27">
    <w:abstractNumId w:val="15"/>
  </w:num>
  <w:num w:numId="28">
    <w:abstractNumId w:val="12"/>
  </w:num>
  <w:num w:numId="29">
    <w:abstractNumId w:val="29"/>
  </w:num>
  <w:num w:numId="30">
    <w:abstractNumId w:val="4"/>
  </w:num>
  <w:num w:numId="31">
    <w:abstractNumId w:val="3"/>
  </w:num>
  <w:num w:numId="32">
    <w:abstractNumId w:val="16"/>
  </w:num>
  <w:num w:numId="33">
    <w:abstractNumId w:val="6"/>
  </w:num>
  <w:num w:numId="34">
    <w:abstractNumId w:val="11"/>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5686D"/>
    <w:rsid w:val="000670D9"/>
    <w:rsid w:val="000702C2"/>
    <w:rsid w:val="000719AD"/>
    <w:rsid w:val="00076C77"/>
    <w:rsid w:val="000804B3"/>
    <w:rsid w:val="00082425"/>
    <w:rsid w:val="000836F1"/>
    <w:rsid w:val="000D205F"/>
    <w:rsid w:val="000E30C7"/>
    <w:rsid w:val="000F2030"/>
    <w:rsid w:val="0010345F"/>
    <w:rsid w:val="001319E3"/>
    <w:rsid w:val="0015248A"/>
    <w:rsid w:val="0018699B"/>
    <w:rsid w:val="00190062"/>
    <w:rsid w:val="00196819"/>
    <w:rsid w:val="001B4FC9"/>
    <w:rsid w:val="001C3938"/>
    <w:rsid w:val="001D4E3A"/>
    <w:rsid w:val="00203127"/>
    <w:rsid w:val="00216A63"/>
    <w:rsid w:val="0022577A"/>
    <w:rsid w:val="00227483"/>
    <w:rsid w:val="00280891"/>
    <w:rsid w:val="00280A6F"/>
    <w:rsid w:val="00281545"/>
    <w:rsid w:val="002E1112"/>
    <w:rsid w:val="002F209D"/>
    <w:rsid w:val="002F284C"/>
    <w:rsid w:val="002F2A40"/>
    <w:rsid w:val="00300E88"/>
    <w:rsid w:val="00317757"/>
    <w:rsid w:val="00342FAD"/>
    <w:rsid w:val="00354692"/>
    <w:rsid w:val="0037399F"/>
    <w:rsid w:val="003761D8"/>
    <w:rsid w:val="003859DF"/>
    <w:rsid w:val="00391B77"/>
    <w:rsid w:val="003E19AF"/>
    <w:rsid w:val="0040150D"/>
    <w:rsid w:val="00407D7A"/>
    <w:rsid w:val="004176AB"/>
    <w:rsid w:val="00433FA8"/>
    <w:rsid w:val="004417EE"/>
    <w:rsid w:val="004836C2"/>
    <w:rsid w:val="004B4D22"/>
    <w:rsid w:val="004D44A9"/>
    <w:rsid w:val="004D6DDA"/>
    <w:rsid w:val="005077BF"/>
    <w:rsid w:val="005421F6"/>
    <w:rsid w:val="00542202"/>
    <w:rsid w:val="005937A1"/>
    <w:rsid w:val="005B6D7C"/>
    <w:rsid w:val="005C2313"/>
    <w:rsid w:val="005F29BD"/>
    <w:rsid w:val="00603160"/>
    <w:rsid w:val="006165E7"/>
    <w:rsid w:val="00636EF8"/>
    <w:rsid w:val="00667CB5"/>
    <w:rsid w:val="00717129"/>
    <w:rsid w:val="00777196"/>
    <w:rsid w:val="0078580D"/>
    <w:rsid w:val="00785A49"/>
    <w:rsid w:val="007A3141"/>
    <w:rsid w:val="007C09A7"/>
    <w:rsid w:val="007C56AC"/>
    <w:rsid w:val="007C69CE"/>
    <w:rsid w:val="007C79E1"/>
    <w:rsid w:val="007D1D5C"/>
    <w:rsid w:val="007D2E93"/>
    <w:rsid w:val="007D3FDD"/>
    <w:rsid w:val="007E24E0"/>
    <w:rsid w:val="008324A2"/>
    <w:rsid w:val="00851D20"/>
    <w:rsid w:val="00877711"/>
    <w:rsid w:val="00880A10"/>
    <w:rsid w:val="0088207E"/>
    <w:rsid w:val="008847BA"/>
    <w:rsid w:val="00893E68"/>
    <w:rsid w:val="008A634C"/>
    <w:rsid w:val="008A7321"/>
    <w:rsid w:val="008B01ED"/>
    <w:rsid w:val="008B1EC2"/>
    <w:rsid w:val="008D3D1C"/>
    <w:rsid w:val="008D60A5"/>
    <w:rsid w:val="00972695"/>
    <w:rsid w:val="009A3EEE"/>
    <w:rsid w:val="009A7434"/>
    <w:rsid w:val="009A7BB1"/>
    <w:rsid w:val="009B27BF"/>
    <w:rsid w:val="009F032F"/>
    <w:rsid w:val="009F543C"/>
    <w:rsid w:val="00A64CD4"/>
    <w:rsid w:val="00A82BD2"/>
    <w:rsid w:val="00A924FD"/>
    <w:rsid w:val="00AA2D32"/>
    <w:rsid w:val="00AC0B02"/>
    <w:rsid w:val="00B174F7"/>
    <w:rsid w:val="00B22EA6"/>
    <w:rsid w:val="00B34B1E"/>
    <w:rsid w:val="00B521CF"/>
    <w:rsid w:val="00B613B9"/>
    <w:rsid w:val="00BF46A6"/>
    <w:rsid w:val="00C005CE"/>
    <w:rsid w:val="00C155B8"/>
    <w:rsid w:val="00C1621B"/>
    <w:rsid w:val="00C21616"/>
    <w:rsid w:val="00C4135F"/>
    <w:rsid w:val="00C61523"/>
    <w:rsid w:val="00C74BD8"/>
    <w:rsid w:val="00C85428"/>
    <w:rsid w:val="00CB743E"/>
    <w:rsid w:val="00CD24B4"/>
    <w:rsid w:val="00CD2DDB"/>
    <w:rsid w:val="00CF1D56"/>
    <w:rsid w:val="00D03643"/>
    <w:rsid w:val="00D103E3"/>
    <w:rsid w:val="00D250A0"/>
    <w:rsid w:val="00D3314C"/>
    <w:rsid w:val="00D450CD"/>
    <w:rsid w:val="00D5140C"/>
    <w:rsid w:val="00D845A9"/>
    <w:rsid w:val="00DA2045"/>
    <w:rsid w:val="00DA392A"/>
    <w:rsid w:val="00DB6882"/>
    <w:rsid w:val="00DB692D"/>
    <w:rsid w:val="00DD0167"/>
    <w:rsid w:val="00DF7140"/>
    <w:rsid w:val="00E1499F"/>
    <w:rsid w:val="00E22A70"/>
    <w:rsid w:val="00E95BE3"/>
    <w:rsid w:val="00EA3FCE"/>
    <w:rsid w:val="00EA5BF2"/>
    <w:rsid w:val="00EC5A42"/>
    <w:rsid w:val="00EC7C61"/>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862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574&amp;file=&amp;tenderdisplay=2022-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D4DA-AAC9-468B-9A4D-C1A9B4E0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3956</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2022-01-24T07:40:00Z</cp:lastPrinted>
  <dcterms:created xsi:type="dcterms:W3CDTF">2022-01-24T07:40:00Z</dcterms:created>
  <dcterms:modified xsi:type="dcterms:W3CDTF">2022-01-24T08:44:00Z</dcterms:modified>
</cp:coreProperties>
</file>